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3.jpeg" ContentType="image/jpe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617"/>
        <w:gridCol w:w="7398"/>
      </w:tblGrid>
      <w:tr>
        <w:trPr>
          <w:cantSplit w:val="false"/>
        </w:trPr>
        <w:tc>
          <w:tcPr>
            <w:tcW w:w="36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Web"/>
              <w:spacing w:before="280" w:after="280"/>
              <w:jc w:val="center"/>
              <w:rPr/>
            </w:pPr>
            <w:bookmarkStart w:id="0" w:name="_GoBack"/>
            <w:bookmarkEnd w:id="0"/>
            <w:r>
              <w:rPr/>
              <w:drawing>
                <wp:inline distT="0" distB="0" distL="0" distR="0">
                  <wp:extent cx="1473200" cy="462280"/>
                  <wp:effectExtent l="0" t="0" r="0" b="0"/>
                  <wp:docPr id="0" name="Picture" descr="Lopoco | Ultra-efficient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poco | Ultra-efficient servers"/>
                          <pic:cNvPicPr>
                            <a:picLocks noChangeAspect="1" noChangeArrowheads="1"/>
                          </pic:cNvPicPr>
                        </pic:nvPicPr>
                        <pic:blipFill>
                          <a:blip r:embed="rId2"/>
                          <a:stretch>
                            <a:fillRect/>
                          </a:stretch>
                        </pic:blipFill>
                        <pic:spPr bwMode="auto">
                          <a:xfrm>
                            <a:off x="0" y="0"/>
                            <a:ext cx="1473200" cy="462280"/>
                          </a:xfrm>
                          <a:prstGeom prst="rect">
                            <a:avLst/>
                          </a:prstGeom>
                          <a:noFill/>
                          <a:ln w="9525">
                            <a:noFill/>
                            <a:miter lim="800000"/>
                            <a:headEnd/>
                            <a:tailEnd/>
                          </a:ln>
                        </pic:spPr>
                      </pic:pic>
                    </a:graphicData>
                  </a:graphic>
                </wp:inline>
              </w:drawing>
            </w:r>
          </w:p>
          <w:p>
            <w:pPr>
              <w:pStyle w:val="NormalWeb"/>
              <w:spacing w:before="280" w:after="280"/>
              <w:rPr>
                <w:rFonts w:eastAsia="+mn-ea" w:cs="+mn-cs" w:ascii="Calibri" w:hAnsi="Calibri"/>
                <w:b/>
                <w:bCs/>
                <w:color w:val="505050"/>
                <w:sz w:val="36"/>
                <w:szCs w:val="36"/>
              </w:rPr>
            </w:pPr>
            <w:r>
              <w:rPr>
                <w:rFonts w:eastAsia="+mn-ea" w:cs="+mn-cs" w:ascii="Calibri" w:hAnsi="Calibri"/>
                <w:b/>
                <w:bCs/>
                <w:color w:val="505050"/>
                <w:sz w:val="36"/>
                <w:szCs w:val="36"/>
              </w:rPr>
              <w:t>Lopoco</w:t>
            </w:r>
          </w:p>
          <w:p>
            <w:pPr>
              <w:pStyle w:val="NormalWeb"/>
              <w:spacing w:before="280" w:after="280"/>
              <w:rPr>
                <w:rFonts w:eastAsia="+mn-ea" w:cs="+mn-cs" w:ascii="Calibri" w:hAnsi="Calibri"/>
                <w:b/>
                <w:bCs/>
                <w:color w:val="505050"/>
                <w:sz w:val="20"/>
                <w:szCs w:val="20"/>
              </w:rPr>
            </w:pPr>
            <w:r>
              <w:rPr>
                <w:rFonts w:eastAsia="+mn-ea" w:cs="+mn-cs" w:ascii="Calibri" w:hAnsi="Calibri"/>
                <w:b/>
                <w:bCs/>
                <w:color w:val="505050"/>
                <w:sz w:val="20"/>
                <w:szCs w:val="20"/>
              </w:rPr>
              <w:t>900 E. Hamilton Ave.</w:t>
            </w:r>
          </w:p>
          <w:p>
            <w:pPr>
              <w:pStyle w:val="NormalWeb"/>
              <w:spacing w:before="280" w:after="280"/>
              <w:rPr>
                <w:rFonts w:eastAsia="+mn-ea" w:cs="+mn-cs" w:ascii="Calibri" w:hAnsi="Calibri"/>
                <w:b/>
                <w:bCs/>
                <w:color w:val="505050"/>
                <w:sz w:val="20"/>
                <w:szCs w:val="20"/>
              </w:rPr>
            </w:pPr>
            <w:r>
              <w:rPr>
                <w:rFonts w:eastAsia="+mn-ea" w:cs="+mn-cs" w:ascii="Calibri" w:hAnsi="Calibri"/>
                <w:b/>
                <w:bCs/>
                <w:color w:val="505050"/>
                <w:sz w:val="20"/>
                <w:szCs w:val="20"/>
              </w:rPr>
              <w:t>STE180</w:t>
            </w:r>
          </w:p>
          <w:p>
            <w:pPr>
              <w:pStyle w:val="NormalWeb"/>
              <w:spacing w:before="280" w:after="280"/>
              <w:rPr>
                <w:rFonts w:eastAsia="+mn-ea" w:cs="+mn-cs" w:ascii="Calibri" w:hAnsi="Calibri"/>
                <w:b/>
                <w:bCs/>
                <w:color w:val="505050"/>
                <w:sz w:val="20"/>
                <w:szCs w:val="20"/>
              </w:rPr>
            </w:pPr>
            <w:r>
              <w:rPr>
                <w:rFonts w:eastAsia="+mn-ea" w:cs="+mn-cs" w:ascii="Calibri" w:hAnsi="Calibri"/>
                <w:b/>
                <w:bCs/>
                <w:color w:val="505050"/>
                <w:sz w:val="20"/>
                <w:szCs w:val="20"/>
              </w:rPr>
              <w:t>Campbell, CA. 95008</w:t>
            </w:r>
          </w:p>
          <w:p>
            <w:pPr>
              <w:pStyle w:val="NormalWeb"/>
              <w:spacing w:before="280" w:after="280"/>
              <w:rPr>
                <w:rStyle w:val="InternetLink"/>
                <w:rFonts w:eastAsia="+mn-ea" w:cs="+mn-cs" w:ascii="Calibri" w:hAnsi="Calibri"/>
                <w:b/>
                <w:bCs/>
                <w:sz w:val="20"/>
                <w:szCs w:val="20"/>
              </w:rPr>
            </w:pPr>
            <w:hyperlink r:id="rId3">
              <w:r>
                <w:rPr>
                  <w:rStyle w:val="InternetLink"/>
                  <w:rFonts w:eastAsia="+mn-ea" w:cs="+mn-cs" w:ascii="Calibri" w:hAnsi="Calibri"/>
                  <w:b/>
                  <w:bCs/>
                  <w:sz w:val="20"/>
                  <w:szCs w:val="20"/>
                </w:rPr>
                <w:t>www.lopoco.com</w:t>
              </w:r>
            </w:hyperlink>
          </w:p>
          <w:p>
            <w:pPr>
              <w:pStyle w:val="NormalWeb"/>
              <w:spacing w:before="280" w:after="280"/>
              <w:rPr>
                <w:rFonts w:eastAsia="+mn-ea" w:cs="+mn-cs" w:ascii="Calibri" w:hAnsi="Calibri"/>
                <w:b/>
                <w:bCs/>
                <w:color w:val="505050"/>
                <w:sz w:val="20"/>
                <w:szCs w:val="20"/>
              </w:rPr>
            </w:pPr>
            <w:r>
              <w:rPr>
                <w:rFonts w:eastAsia="+mn-ea" w:cs="+mn-cs" w:ascii="Calibri" w:hAnsi="Calibri"/>
                <w:b/>
                <w:bCs/>
                <w:color w:val="505050"/>
                <w:sz w:val="20"/>
                <w:szCs w:val="20"/>
              </w:rPr>
            </w:r>
          </w:p>
          <w:p>
            <w:pPr>
              <w:pStyle w:val="NormalWeb"/>
              <w:spacing w:before="280" w:after="280"/>
              <w:rPr>
                <w:rStyle w:val="InternetLink"/>
                <w:rFonts w:eastAsia="+mn-ea" w:cs="+mn-cs" w:ascii="Calibri" w:hAnsi="Calibri"/>
                <w:b/>
                <w:bCs/>
                <w:sz w:val="20"/>
                <w:szCs w:val="20"/>
              </w:rPr>
            </w:pPr>
            <w:r>
              <w:rPr>
                <w:rFonts w:eastAsia="+mn-ea" w:cs="+mn-cs" w:ascii="Calibri" w:hAnsi="Calibri"/>
                <w:b/>
                <w:bCs/>
                <w:color w:val="505050"/>
                <w:sz w:val="20"/>
                <w:szCs w:val="20"/>
              </w:rPr>
              <w:t xml:space="preserve">Andy Sharp; </w:t>
            </w:r>
            <w:hyperlink r:id="rId4">
              <w:r>
                <w:rPr>
                  <w:rStyle w:val="InternetLink"/>
                  <w:rFonts w:eastAsia="+mn-ea" w:cs="+mn-cs" w:ascii="Calibri" w:hAnsi="Calibri"/>
                  <w:b/>
                  <w:bCs/>
                  <w:sz w:val="20"/>
                  <w:szCs w:val="20"/>
                </w:rPr>
                <w:t>andy@lopoco.com</w:t>
              </w:r>
            </w:hyperlink>
          </w:p>
          <w:p>
            <w:pPr>
              <w:pStyle w:val="NormalWeb"/>
              <w:spacing w:before="280" w:after="280"/>
              <w:rPr>
                <w:rStyle w:val="InternetLink"/>
                <w:rFonts w:eastAsia="+mn-ea" w:cs="+mn-cs" w:ascii="Calibri" w:hAnsi="Calibri"/>
                <w:b/>
                <w:bCs/>
                <w:sz w:val="20"/>
                <w:szCs w:val="20"/>
              </w:rPr>
            </w:pPr>
            <w:r>
              <w:rPr>
                <w:rFonts w:eastAsia="+mn-ea" w:cs="+mn-cs" w:ascii="Calibri" w:hAnsi="Calibri"/>
                <w:b/>
                <w:bCs/>
                <w:color w:val="505050"/>
                <w:sz w:val="20"/>
                <w:szCs w:val="20"/>
              </w:rPr>
              <w:t xml:space="preserve">Ken Cannizzaro; </w:t>
            </w:r>
            <w:hyperlink r:id="rId5">
              <w:r>
                <w:rPr>
                  <w:rStyle w:val="InternetLink"/>
                  <w:rFonts w:eastAsia="+mn-ea" w:cs="+mn-cs" w:ascii="Calibri" w:hAnsi="Calibri"/>
                  <w:b/>
                  <w:bCs/>
                  <w:sz w:val="20"/>
                  <w:szCs w:val="20"/>
                </w:rPr>
                <w:t>ken@inventergy.com</w:t>
              </w:r>
            </w:hyperlink>
          </w:p>
          <w:p>
            <w:pPr>
              <w:pStyle w:val="NormalWeb"/>
              <w:spacing w:before="280" w:after="280"/>
              <w:rPr>
                <w:rFonts w:eastAsia="+mn-ea" w:cs="+mn-cs" w:ascii="Calibri" w:hAnsi="Calibri"/>
                <w:b/>
                <w:bCs/>
                <w:color w:val="505050"/>
              </w:rPr>
            </w:pPr>
            <w:r>
              <w:rPr>
                <w:rFonts w:eastAsia="+mn-ea" w:cs="+mn-cs" w:ascii="Calibri" w:hAnsi="Calibri"/>
                <w:b/>
                <w:bCs/>
                <w:color w:val="505050"/>
              </w:rPr>
              <w:t>Funding: Self</w:t>
            </w:r>
          </w:p>
          <w:p>
            <w:pPr>
              <w:pStyle w:val="NormalWeb"/>
              <w:spacing w:before="280" w:after="280"/>
              <w:rPr>
                <w:rFonts w:eastAsia="+mn-ea" w:cs="+mn-cs" w:ascii="Calibri" w:hAnsi="Calibri"/>
                <w:b/>
                <w:bCs/>
                <w:color w:val="505050"/>
              </w:rPr>
            </w:pPr>
            <w:r>
              <w:rPr>
                <w:rFonts w:eastAsia="+mn-ea" w:cs="+mn-cs" w:ascii="Calibri" w:hAnsi="Calibri"/>
                <w:b/>
                <w:bCs/>
                <w:color w:val="505050"/>
              </w:rPr>
              <w:t>Competitive Advantages:</w:t>
            </w:r>
          </w:p>
          <w:p>
            <w:pPr>
              <w:pStyle w:val="ListParagraph"/>
              <w:numPr>
                <w:ilvl w:val="0"/>
                <w:numId w:val="1"/>
              </w:numPr>
              <w:tabs>
                <w:tab w:val="left" w:pos="360" w:leader="none"/>
              </w:tabs>
              <w:ind w:left="360" w:right="0" w:hanging="360"/>
              <w:rPr>
                <w:rFonts w:eastAsia="+mn-ea" w:cs="+mn-cs" w:ascii="Calibri" w:hAnsi="Calibri"/>
                <w:bCs/>
                <w:color w:val="505050"/>
                <w:sz w:val="22"/>
                <w:szCs w:val="22"/>
              </w:rPr>
            </w:pPr>
            <w:r>
              <w:rPr>
                <w:rFonts w:eastAsia="+mn-ea" w:cs="+mn-cs" w:ascii="Calibri" w:hAnsi="Calibri"/>
                <w:bCs/>
                <w:color w:val="505050"/>
                <w:sz w:val="22"/>
                <w:szCs w:val="22"/>
              </w:rPr>
              <w:t>Highly efficient, low-power servers built with existing technology.</w:t>
            </w:r>
          </w:p>
          <w:p>
            <w:pPr>
              <w:pStyle w:val="ListParagraph"/>
              <w:numPr>
                <w:ilvl w:val="0"/>
                <w:numId w:val="1"/>
              </w:numPr>
              <w:tabs>
                <w:tab w:val="left" w:pos="360" w:leader="none"/>
              </w:tabs>
              <w:ind w:left="360" w:right="0" w:hanging="360"/>
              <w:rPr>
                <w:rFonts w:eastAsia="+mn-ea" w:cs="+mn-cs" w:ascii="Calibri" w:hAnsi="Calibri"/>
                <w:bCs/>
                <w:color w:val="505050"/>
                <w:sz w:val="22"/>
                <w:szCs w:val="22"/>
              </w:rPr>
            </w:pPr>
            <w:r>
              <w:rPr>
                <w:rFonts w:eastAsia="+mn-ea" w:cs="+mn-cs" w:ascii="Calibri" w:hAnsi="Calibri"/>
                <w:bCs/>
                <w:color w:val="505050"/>
                <w:sz w:val="22"/>
                <w:szCs w:val="22"/>
              </w:rPr>
              <w:t>Significant savings in deployment costs, power, HVAC with increases in rack density</w:t>
            </w:r>
          </w:p>
          <w:p>
            <w:pPr>
              <w:pStyle w:val="NormalWeb"/>
              <w:spacing w:before="280" w:after="280"/>
              <w:rPr>
                <w:rFonts w:eastAsia="+mn-ea" w:cs="+mn-cs" w:ascii="Calibri" w:hAnsi="Calibri"/>
                <w:b/>
                <w:bCs/>
                <w:color w:val="505050"/>
              </w:rPr>
            </w:pPr>
            <w:r>
              <w:rPr>
                <w:rFonts w:eastAsia="+mn-ea" w:cs="+mn-cs" w:ascii="Calibri" w:hAnsi="Calibri"/>
                <w:b/>
                <w:bCs/>
                <w:color w:val="505050"/>
              </w:rPr>
              <w:t>Status</w:t>
            </w:r>
          </w:p>
          <w:p>
            <w:pPr>
              <w:pStyle w:val="ListParagraph"/>
              <w:numPr>
                <w:ilvl w:val="0"/>
                <w:numId w:val="2"/>
              </w:numPr>
              <w:rPr>
                <w:rFonts w:eastAsia="+mn-ea" w:cs="+mn-cs" w:ascii="Calibri" w:hAnsi="Calibri"/>
                <w:bCs/>
                <w:color w:val="505050"/>
                <w:sz w:val="22"/>
                <w:szCs w:val="22"/>
              </w:rPr>
            </w:pPr>
            <w:r>
              <w:rPr>
                <w:rFonts w:eastAsia="+mn-ea" w:cs="+mn-cs" w:ascii="Calibri" w:hAnsi="Calibri"/>
                <w:bCs/>
                <w:color w:val="505050"/>
                <w:sz w:val="22"/>
                <w:szCs w:val="22"/>
              </w:rPr>
              <w:t>Products available and shipping</w:t>
            </w:r>
          </w:p>
          <w:p>
            <w:pPr>
              <w:pStyle w:val="NormalWeb"/>
              <w:spacing w:before="280" w:after="280"/>
              <w:rPr>
                <w:rFonts w:eastAsia="+mn-ea" w:cs="+mn-cs" w:ascii="Calibri" w:hAnsi="Calibri"/>
                <w:bCs/>
                <w:color w:val="505050"/>
              </w:rPr>
            </w:pPr>
            <w:r>
              <w:rPr>
                <w:rFonts w:eastAsia="+mn-ea" w:cs="+mn-cs" w:ascii="Calibri" w:hAnsi="Calibri"/>
                <w:b/>
                <w:bCs/>
                <w:color w:val="505050"/>
              </w:rPr>
              <w:t xml:space="preserve">Ask: </w:t>
            </w:r>
            <w:r>
              <w:rPr>
                <w:rFonts w:eastAsia="+mn-ea" w:cs="+mn-cs" w:ascii="Calibri" w:hAnsi="Calibri"/>
                <w:bCs/>
                <w:color w:val="505050"/>
              </w:rPr>
              <w:t>TBD</w:t>
            </w:r>
          </w:p>
          <w:p>
            <w:pPr>
              <w:pStyle w:val="NormalWeb"/>
              <w:spacing w:before="280" w:after="280"/>
              <w:rPr>
                <w:rFonts w:eastAsia="+mn-ea" w:cs="+mn-cs" w:ascii="Calibri" w:hAnsi="Calibri"/>
                <w:b/>
                <w:bCs/>
                <w:color w:val="505050"/>
              </w:rPr>
            </w:pPr>
            <w:r>
              <w:rPr>
                <w:rFonts w:eastAsia="+mn-ea" w:cs="+mn-cs" w:ascii="Calibri" w:hAnsi="Calibri"/>
                <w:b/>
                <w:bCs/>
                <w:color w:val="505050"/>
              </w:rPr>
              <w:t>Use of Proceeds</w:t>
            </w:r>
          </w:p>
          <w:p>
            <w:pPr>
              <w:pStyle w:val="ListParagraph"/>
              <w:numPr>
                <w:ilvl w:val="0"/>
                <w:numId w:val="3"/>
              </w:numPr>
              <w:rPr>
                <w:rFonts w:eastAsia="+mn-ea" w:cs="+mn-cs" w:ascii="Calibri" w:hAnsi="Calibri"/>
                <w:bCs/>
                <w:color w:val="505050"/>
                <w:sz w:val="22"/>
                <w:szCs w:val="22"/>
              </w:rPr>
            </w:pPr>
            <w:r>
              <w:rPr>
                <w:rFonts w:eastAsia="+mn-ea" w:cs="+mn-cs" w:ascii="Calibri" w:hAnsi="Calibri"/>
                <w:bCs/>
                <w:color w:val="505050"/>
                <w:sz w:val="22"/>
                <w:szCs w:val="22"/>
              </w:rPr>
              <w:t>Funding company operations and manufacturing</w:t>
            </w:r>
          </w:p>
          <w:p>
            <w:pPr>
              <w:pStyle w:val="ListParagraph"/>
              <w:numPr>
                <w:ilvl w:val="0"/>
                <w:numId w:val="3"/>
              </w:numPr>
              <w:rPr>
                <w:rFonts w:eastAsia="+mn-ea" w:cs="+mn-cs" w:ascii="Calibri" w:hAnsi="Calibri"/>
                <w:bCs/>
                <w:color w:val="505050"/>
                <w:sz w:val="22"/>
                <w:szCs w:val="22"/>
              </w:rPr>
            </w:pPr>
            <w:r>
              <w:rPr>
                <w:rFonts w:eastAsia="+mn-ea" w:cs="+mn-cs" w:ascii="Calibri" w:hAnsi="Calibri"/>
                <w:bCs/>
                <w:color w:val="505050"/>
                <w:sz w:val="22"/>
                <w:szCs w:val="22"/>
              </w:rPr>
              <w:t>Building out Intellectual Property coverage</w:t>
            </w:r>
          </w:p>
          <w:p>
            <w:pPr>
              <w:pStyle w:val="NormalWeb"/>
              <w:spacing w:before="280" w:after="280"/>
              <w:rPr>
                <w:rFonts w:eastAsia="+mn-ea" w:cs="+mn-cs" w:ascii="Calibri" w:hAnsi="Calibri"/>
                <w:b/>
                <w:bCs/>
                <w:color w:val="505050"/>
              </w:rPr>
            </w:pPr>
            <w:r>
              <w:rPr>
                <w:rFonts w:eastAsia="+mn-ea" w:cs="+mn-cs" w:ascii="Calibri" w:hAnsi="Calibri"/>
                <w:b/>
                <w:bCs/>
                <w:color w:val="505050"/>
              </w:rPr>
              <w:t>Sales Motions</w:t>
            </w:r>
          </w:p>
          <w:p>
            <w:pPr>
              <w:pStyle w:val="ListParagraph"/>
              <w:numPr>
                <w:ilvl w:val="0"/>
                <w:numId w:val="4"/>
              </w:numPr>
              <w:rPr>
                <w:rFonts w:eastAsia="+mn-ea" w:cs="+mn-cs" w:ascii="Calibri" w:hAnsi="Calibri"/>
                <w:bCs/>
                <w:color w:val="505050"/>
                <w:sz w:val="22"/>
                <w:szCs w:val="22"/>
              </w:rPr>
            </w:pPr>
            <w:r>
              <w:rPr>
                <w:rFonts w:eastAsia="+mn-ea" w:cs="+mn-cs" w:ascii="Calibri" w:hAnsi="Calibri"/>
                <w:bCs/>
                <w:color w:val="505050"/>
                <w:sz w:val="22"/>
                <w:szCs w:val="22"/>
              </w:rPr>
              <w:t>Acquisition by strategic</w:t>
            </w:r>
          </w:p>
          <w:p>
            <w:pPr>
              <w:pStyle w:val="ListParagraph"/>
              <w:numPr>
                <w:ilvl w:val="0"/>
                <w:numId w:val="4"/>
              </w:numPr>
              <w:rPr>
                <w:rFonts w:eastAsia="+mn-ea" w:cs="+mn-cs" w:ascii="Calibri" w:hAnsi="Calibri"/>
                <w:bCs/>
                <w:color w:val="505050"/>
                <w:sz w:val="22"/>
                <w:szCs w:val="22"/>
              </w:rPr>
            </w:pPr>
            <w:r>
              <w:rPr>
                <w:rFonts w:eastAsia="+mn-ea" w:cs="+mn-cs" w:ascii="Calibri" w:hAnsi="Calibri"/>
                <w:bCs/>
                <w:color w:val="505050"/>
                <w:sz w:val="22"/>
                <w:szCs w:val="22"/>
              </w:rPr>
              <w:t>Invest in company as going concern</w:t>
            </w:r>
          </w:p>
          <w:p>
            <w:pPr>
              <w:pStyle w:val="NormalWeb"/>
              <w:spacing w:before="280" w:after="280"/>
              <w:rPr>
                <w:rFonts w:eastAsia="+mn-ea" w:cs="+mn-cs" w:ascii="Calibri" w:hAnsi="Calibri"/>
                <w:b/>
                <w:bCs/>
                <w:color w:val="505050"/>
              </w:rPr>
            </w:pPr>
            <w:r>
              <w:rPr>
                <w:rFonts w:eastAsia="+mn-ea" w:cs="+mn-cs" w:ascii="Calibri" w:hAnsi="Calibri"/>
                <w:b/>
                <w:bCs/>
                <w:color w:val="505050"/>
              </w:rPr>
              <w:t>References</w:t>
            </w:r>
          </w:p>
          <w:p>
            <w:pPr>
              <w:pStyle w:val="ListParagraph"/>
              <w:numPr>
                <w:ilvl w:val="0"/>
                <w:numId w:val="4"/>
              </w:numPr>
              <w:rPr>
                <w:rStyle w:val="InternetLink"/>
                <w:rFonts w:eastAsia="+mn-ea" w:cs="+mn-cs" w:ascii="Calibri" w:hAnsi="Calibri"/>
                <w:bCs/>
                <w:color w:val="505050"/>
                <w:sz w:val="20"/>
                <w:szCs w:val="20"/>
              </w:rPr>
            </w:pPr>
            <w:hyperlink r:id="rId6">
              <w:r>
                <w:rPr>
                  <w:rStyle w:val="InternetLink"/>
                  <w:rFonts w:eastAsia="+mn-ea" w:cs="+mn-cs" w:ascii="Calibri" w:hAnsi="Calibri"/>
                  <w:bCs/>
                  <w:color w:val="505050"/>
                  <w:sz w:val="20"/>
                  <w:szCs w:val="20"/>
                </w:rPr>
                <w:t>http://lopoco.net/white-papers/TheNewNormalWhitePaper.html</w:t>
              </w:r>
            </w:hyperlink>
          </w:p>
          <w:p>
            <w:pPr>
              <w:pStyle w:val="ListParagraph"/>
              <w:numPr>
                <w:ilvl w:val="0"/>
                <w:numId w:val="4"/>
              </w:numPr>
              <w:rPr>
                <w:rStyle w:val="InternetLink"/>
                <w:rFonts w:eastAsia="+mn-ea" w:cs="+mn-cs" w:ascii="Calibri" w:hAnsi="Calibri"/>
                <w:bCs/>
                <w:color w:val="505050"/>
                <w:sz w:val="20"/>
                <w:szCs w:val="20"/>
              </w:rPr>
            </w:pPr>
            <w:hyperlink r:id="rId7">
              <w:r>
                <w:rPr>
                  <w:rStyle w:val="InternetLink"/>
                  <w:rFonts w:eastAsia="+mn-ea" w:cs="+mn-cs" w:ascii="Calibri" w:hAnsi="Calibri"/>
                  <w:bCs/>
                  <w:color w:val="505050"/>
                  <w:sz w:val="20"/>
                  <w:szCs w:val="20"/>
                </w:rPr>
                <w:t>http://www.crn.com/slide-shows/data-center/240164479/the-10-coolest-servers-of-2013.htm/pgno/4/5</w:t>
              </w:r>
            </w:hyperlink>
          </w:p>
        </w:tc>
        <w:tc>
          <w:tcPr>
            <w:tcW w:w="739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Web"/>
              <w:spacing w:before="280" w:after="280"/>
              <w:rPr>
                <w:rFonts w:eastAsia="+mn-ea" w:cs="+mn-cs" w:ascii="Calibri" w:hAnsi="Calibri"/>
                <w:b/>
                <w:bCs/>
                <w:color w:val="505050"/>
                <w:sz w:val="22"/>
                <w:szCs w:val="22"/>
              </w:rPr>
            </w:pPr>
            <w:r>
              <w:rPr>
                <w:rFonts w:eastAsia="+mn-ea" w:cs="+mn-cs" w:ascii="Calibri" w:hAnsi="Calibri"/>
                <w:b/>
                <w:bCs/>
                <w:color w:val="505050"/>
                <w:u w:val="single"/>
              </w:rPr>
              <w:t>Problem</w:t>
            </w:r>
            <w:r>
              <w:rPr>
                <w:rFonts w:eastAsia="+mn-ea" w:cs="+mn-cs" w:ascii="Calibri" w:hAnsi="Calibri"/>
                <w:b/>
                <w:bCs/>
                <w:color w:val="505050"/>
                <w:sz w:val="22"/>
                <w:szCs w:val="22"/>
              </w:rPr>
              <w:t xml:space="preserve"> – Energy, HVAC and rack-space conservation, server utilization efficiency.</w:t>
            </w:r>
          </w:p>
          <w:p>
            <w:pPr>
              <w:pStyle w:val="NormalWeb"/>
              <w:spacing w:before="280" w:after="280"/>
              <w:rPr>
                <w:rFonts w:eastAsia="+mn-ea" w:cs="+mn-cs" w:ascii="Calibri" w:hAnsi="Calibri"/>
                <w:b/>
                <w:bCs/>
                <w:color w:val="505050"/>
                <w:u w:val="single"/>
              </w:rPr>
            </w:pPr>
            <w:r>
              <w:rPr>
                <w:rFonts w:eastAsia="+mn-ea" w:cs="+mn-cs" w:ascii="Calibri" w:hAnsi="Calibri"/>
                <w:b/>
                <w:bCs/>
                <w:color w:val="505050"/>
                <w:u w:val="single"/>
              </w:rPr>
              <w:t>Executive Summary</w:t>
            </w:r>
          </w:p>
          <w:p>
            <w:pPr>
              <w:pStyle w:val="NormalWeb"/>
              <w:spacing w:before="280" w:after="280"/>
              <w:rPr>
                <w:rFonts w:eastAsia="+mn-ea" w:cs="+mn-cs" w:ascii="Calibri" w:hAnsi="Calibri"/>
                <w:bCs/>
                <w:color w:val="505050"/>
                <w:sz w:val="22"/>
                <w:szCs w:val="22"/>
              </w:rPr>
            </w:pPr>
            <w:r>
              <w:rPr>
                <w:rFonts w:eastAsia="+mn-ea" w:cs="+mn-cs" w:ascii="Calibri" w:hAnsi="Calibri"/>
                <w:bCs/>
                <w:color w:val="505050"/>
                <w:sz w:val="22"/>
                <w:szCs w:val="22"/>
              </w:rPr>
              <w:t>Lopoco designs and manufactures ultra-efficient, green-tech servers which use 75% less energy and 50% less space than conventional servers – providing energy and cost savings without sacrificing performance. Lopoco servers are built on proven, available technology without costly custom chips and non-conforming form factors.  By lowering HVAC requirements of server installations, Lopoco offers significant cost savings while providing expansion value to companies whose data centers are at or approaching maximum HVAC or power capacity.</w:t>
            </w:r>
          </w:p>
          <w:p>
            <w:pPr>
              <w:pStyle w:val="NormalWeb"/>
              <w:spacing w:before="280" w:after="280"/>
              <w:rPr>
                <w:rFonts w:eastAsia="+mn-ea" w:cs="+mn-cs" w:ascii="Calibri" w:hAnsi="Calibri"/>
                <w:b/>
                <w:bCs/>
                <w:color w:val="505050"/>
                <w:u w:val="single"/>
              </w:rPr>
            </w:pPr>
            <w:r>
              <w:rPr>
                <w:rFonts w:eastAsia="+mn-ea" w:cs="+mn-cs" w:ascii="Calibri" w:hAnsi="Calibri"/>
                <w:b/>
                <w:bCs/>
                <w:color w:val="505050"/>
                <w:u w:val="single"/>
              </w:rPr>
              <w:t>Technology Attributes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Lopoco servers are engineered for energy efficiency, rack-space density and low power consumption through the selection of off-the-shelf energy-efficient components, reduction or elimination of power-hungry performance features and engineering the overall solution for efficiency and power savings.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 xml:space="preserve">Lopoco has found that substantial savings in the cost of supplying power and cooling, along with increased server density per rack can be achieved with no noticeable performance degradation for typical server applications such as hadoop, </w:t>
            </w:r>
            <w:r>
              <w:rPr>
                <w:rFonts w:eastAsia="+mn-ea" w:cs="+mn-cs" w:ascii="Calibri" w:hAnsi="Calibri"/>
                <w:bCs/>
                <w:color w:val="505050"/>
                <w:sz w:val="22"/>
                <w:szCs w:val="22"/>
              </w:rPr>
              <w:t xml:space="preserve">docker, </w:t>
            </w:r>
            <w:r>
              <w:rPr>
                <w:rFonts w:eastAsia="+mn-ea" w:cs="+mn-cs" w:ascii="Calibri" w:hAnsi="Calibri"/>
                <w:bCs/>
                <w:color w:val="505050"/>
                <w:sz w:val="22"/>
                <w:szCs w:val="22"/>
              </w:rPr>
              <w:t>email serving, database, web-serving (Apache/IIS/PHP/Java), file-sharing, and web-proxy-cache.</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Lopoco servers do not require custom ASICs or multi-node designs but rather use convention technology such as Intel Atom or Xeon E-series multi-core CPUs, SDD or HDD drives and DDR3/</w:t>
            </w:r>
            <w:r>
              <w:rPr>
                <w:rFonts w:eastAsia="+mn-ea" w:cs="+mn-cs" w:ascii="Calibri" w:hAnsi="Calibri"/>
                <w:bCs/>
                <w:color w:val="505050"/>
                <w:sz w:val="22"/>
                <w:szCs w:val="22"/>
              </w:rPr>
              <w:t>4</w:t>
            </w:r>
            <w:r>
              <w:rPr>
                <w:rFonts w:eastAsia="+mn-ea" w:cs="+mn-cs" w:ascii="Calibri" w:hAnsi="Calibri"/>
                <w:bCs/>
                <w:color w:val="505050"/>
                <w:sz w:val="22"/>
                <w:szCs w:val="22"/>
              </w:rPr>
              <w:t xml:space="preserve"> memory configurations.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Lopoco servers’ achievement of  much higher server densities per rack with much lower power and cooling requirements provide advantages in throughput as well as in VM deployment efficiencies.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Lopoco currently offers a configurable selection of 16,12,8,4 core, 1U  servers based on Intel E series processors and 8 core micro-servers based on Intel Avoton Series processors and a fan-less server family based on Intel Atom series processors.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Customers can choose between AC or</w:t>
            </w:r>
            <w:r>
              <w:rPr>
                <w:rFonts w:eastAsia="+mn-ea" w:cs="+mn-cs" w:ascii="Calibri" w:hAnsi="Calibri"/>
                <w:bCs/>
                <w:color w:val="505050"/>
                <w:sz w:val="22"/>
                <w:szCs w:val="22"/>
              </w:rPr>
              <w:t xml:space="preserve"> DC </w:t>
            </w:r>
            <w:r>
              <w:rPr>
                <w:rFonts w:eastAsia="+mn-ea" w:cs="+mn-cs" w:ascii="Calibri" w:hAnsi="Calibri"/>
                <w:bCs/>
                <w:color w:val="505050"/>
                <w:sz w:val="22"/>
                <w:szCs w:val="22"/>
              </w:rPr>
              <w:t>power for all server models</w:t>
            </w:r>
          </w:p>
          <w:p>
            <w:pPr>
              <w:pStyle w:val="NormalWeb"/>
              <w:numPr>
                <w:ilvl w:val="0"/>
                <w:numId w:val="9"/>
              </w:numPr>
              <w:spacing w:before="280" w:after="280"/>
              <w:ind w:left="432" w:right="0" w:hanging="360"/>
              <w:rPr>
                <w:rFonts w:eastAsia="+mn-ea" w:cs="+mn-cs" w:ascii="Calibri" w:hAnsi="Calibri"/>
                <w:bCs/>
                <w:color w:val="505050"/>
                <w:sz w:val="22"/>
                <w:szCs w:val="22"/>
              </w:rPr>
            </w:pPr>
            <w:r>
              <w:rPr>
                <w:rFonts w:eastAsia="+mn-ea" w:cs="+mn-cs" w:ascii="Calibri" w:hAnsi="Calibri"/>
                <w:bCs/>
                <w:color w:val="505050"/>
                <w:sz w:val="22"/>
                <w:szCs w:val="22"/>
              </w:rPr>
              <w:t>Multiple Contract Manufacture</w:t>
            </w:r>
            <w:r>
              <w:rPr>
                <w:rFonts w:eastAsia="+mn-ea" w:cs="+mn-cs" w:ascii="Calibri" w:hAnsi="Calibri"/>
                <w:bCs/>
                <w:color w:val="505050"/>
                <w:sz w:val="22"/>
                <w:szCs w:val="22"/>
              </w:rPr>
              <w:t>r</w:t>
            </w:r>
            <w:r>
              <w:rPr>
                <w:rFonts w:eastAsia="+mn-ea" w:cs="+mn-cs" w:ascii="Calibri" w:hAnsi="Calibri"/>
                <w:bCs/>
                <w:color w:val="505050"/>
                <w:sz w:val="22"/>
                <w:szCs w:val="22"/>
              </w:rPr>
              <w:t>s for supply assurance</w:t>
            </w:r>
          </w:p>
          <w:p>
            <w:pPr>
              <w:pStyle w:val="NormalWeb"/>
              <w:spacing w:before="280" w:after="280"/>
              <w:rPr>
                <w:rFonts w:eastAsia="+mn-ea" w:cs="+mn-cs" w:ascii="Calibri" w:hAnsi="Calibri"/>
                <w:b/>
                <w:bCs/>
                <w:color w:val="505050"/>
                <w:u w:val="single"/>
              </w:rPr>
            </w:pPr>
            <w:r>
              <w:rPr>
                <w:rFonts w:eastAsia="+mn-ea" w:cs="+mn-cs" w:ascii="Calibri" w:hAnsi="Calibri"/>
                <w:b/>
                <w:bCs/>
                <w:color w:val="505050"/>
                <w:u w:val="single"/>
              </w:rPr>
              <w:t>Market Opportunities</w:t>
            </w:r>
          </w:p>
          <w:p>
            <w:pPr>
              <w:pStyle w:val="ListParagraph"/>
              <w:numPr>
                <w:ilvl w:val="0"/>
                <w:numId w:val="5"/>
              </w:numPr>
              <w:rPr>
                <w:rFonts w:eastAsia="+mn-ea" w:cs="+mn-cs" w:ascii="Calibri" w:hAnsi="Calibri"/>
                <w:bCs/>
                <w:color w:val="505050"/>
                <w:sz w:val="22"/>
                <w:szCs w:val="22"/>
              </w:rPr>
            </w:pPr>
            <w:r>
              <w:rPr>
                <w:rFonts w:eastAsia="+mn-ea" w:cs="+mn-cs" w:ascii="Calibri" w:hAnsi="Calibri"/>
                <w:bCs/>
                <w:color w:val="505050"/>
                <w:sz w:val="22"/>
                <w:szCs w:val="22"/>
              </w:rPr>
              <w:t>Large server-centric cloud base businesses with large data centers</w:t>
            </w:r>
          </w:p>
          <w:p>
            <w:pPr>
              <w:pStyle w:val="ListParagraph"/>
              <w:numPr>
                <w:ilvl w:val="0"/>
                <w:numId w:val="5"/>
              </w:numPr>
              <w:rPr>
                <w:rFonts w:eastAsia="+mn-ea" w:cs="+mn-cs" w:ascii="Calibri" w:hAnsi="Calibri"/>
                <w:bCs/>
                <w:color w:val="505050"/>
                <w:sz w:val="22"/>
                <w:szCs w:val="22"/>
              </w:rPr>
            </w:pPr>
            <w:r>
              <w:rPr>
                <w:rFonts w:eastAsia="+mn-ea" w:cs="+mn-cs" w:ascii="Calibri" w:hAnsi="Calibri"/>
                <w:bCs/>
                <w:color w:val="505050"/>
                <w:sz w:val="22"/>
                <w:szCs w:val="22"/>
              </w:rPr>
              <w:t>10,000 servers / quarter yields approximately $</w:t>
            </w:r>
            <w:r>
              <w:rPr>
                <w:rFonts w:eastAsia="+mn-ea" w:cs="+mn-cs" w:ascii="Calibri" w:hAnsi="Calibri"/>
                <w:bCs/>
                <w:color w:val="505050"/>
                <w:sz w:val="22"/>
                <w:szCs w:val="22"/>
              </w:rPr>
              <w:t>20</w:t>
            </w:r>
            <w:r>
              <w:rPr>
                <w:rFonts w:eastAsia="+mn-ea" w:cs="+mn-cs" w:ascii="Calibri" w:hAnsi="Calibri"/>
                <w:bCs/>
                <w:color w:val="505050"/>
                <w:sz w:val="22"/>
                <w:szCs w:val="22"/>
              </w:rPr>
              <w:t>0-$</w:t>
            </w:r>
            <w:r>
              <w:rPr>
                <w:rFonts w:eastAsia="+mn-ea" w:cs="+mn-cs" w:ascii="Calibri" w:hAnsi="Calibri"/>
                <w:bCs/>
                <w:color w:val="505050"/>
                <w:sz w:val="22"/>
                <w:szCs w:val="22"/>
              </w:rPr>
              <w:t>300</w:t>
            </w:r>
            <w:r>
              <w:rPr>
                <w:rFonts w:eastAsia="+mn-ea" w:cs="+mn-cs" w:ascii="Calibri" w:hAnsi="Calibri"/>
                <w:bCs/>
                <w:color w:val="505050"/>
                <w:sz w:val="22"/>
                <w:szCs w:val="22"/>
              </w:rPr>
              <w:t>M in annual revenues</w:t>
            </w:r>
          </w:p>
          <w:p>
            <w:pPr>
              <w:pStyle w:val="NormalWeb"/>
              <w:spacing w:before="280" w:after="280"/>
              <w:rPr>
                <w:rFonts w:eastAsia="+mn-ea" w:cs="+mn-cs" w:ascii="Calibri" w:hAnsi="Calibri"/>
                <w:b/>
                <w:bCs/>
                <w:color w:val="505050"/>
                <w:u w:val="single"/>
              </w:rPr>
            </w:pPr>
            <w:r>
              <w:rPr>
                <w:rFonts w:eastAsia="+mn-ea" w:cs="+mn-cs" w:ascii="Calibri" w:hAnsi="Calibri"/>
                <w:b/>
                <w:bCs/>
                <w:color w:val="505050"/>
                <w:u w:val="single"/>
              </w:rPr>
              <w:t>Intellectual Property</w:t>
            </w:r>
          </w:p>
          <w:p>
            <w:pPr>
              <w:pStyle w:val="ListParagraph"/>
              <w:numPr>
                <w:ilvl w:val="0"/>
                <w:numId w:val="6"/>
              </w:numPr>
              <w:rPr>
                <w:rFonts w:eastAsia="+mn-ea" w:cs="+mn-cs" w:ascii="Calibri" w:hAnsi="Calibri"/>
                <w:bCs/>
                <w:color w:val="505050"/>
                <w:sz w:val="22"/>
                <w:szCs w:val="22"/>
              </w:rPr>
            </w:pPr>
            <w:r>
              <w:rPr>
                <w:rFonts w:eastAsia="+mn-ea" w:cs="+mn-cs" w:ascii="Calibri" w:hAnsi="Calibri"/>
                <w:bCs/>
                <w:color w:val="505050"/>
                <w:sz w:val="22"/>
                <w:szCs w:val="22"/>
              </w:rPr>
              <w:t>Trade secrets and technical know how</w:t>
            </w:r>
          </w:p>
          <w:p>
            <w:pPr>
              <w:pStyle w:val="NormalWeb"/>
              <w:spacing w:before="280" w:after="280"/>
              <w:rPr>
                <w:rFonts w:eastAsia="+mn-ea" w:cs="+mn-cs" w:ascii="Calibri" w:hAnsi="Calibri"/>
                <w:b/>
                <w:bCs/>
                <w:color w:val="505050"/>
                <w:u w:val="single"/>
              </w:rPr>
            </w:pPr>
            <w:r>
              <w:rPr>
                <w:rFonts w:eastAsia="+mn-ea" w:cs="+mn-cs" w:ascii="Calibri" w:hAnsi="Calibri"/>
                <w:b/>
                <w:bCs/>
                <w:color w:val="505050"/>
                <w:u w:val="single"/>
              </w:rPr>
              <w:t>Team</w:t>
            </w:r>
          </w:p>
          <w:p>
            <w:pPr>
              <w:pStyle w:val="ListParagraph"/>
              <w:numPr>
                <w:ilvl w:val="0"/>
                <w:numId w:val="7"/>
              </w:numPr>
              <w:rPr>
                <w:rFonts w:eastAsia="+mn-ea" w:cs="+mn-cs" w:ascii="Calibri" w:hAnsi="Calibri"/>
                <w:bCs/>
                <w:color w:val="505050"/>
                <w:sz w:val="22"/>
                <w:szCs w:val="22"/>
              </w:rPr>
            </w:pPr>
            <w:r>
              <w:rPr>
                <w:rFonts w:eastAsia="+mn-ea" w:cs="+mn-cs" w:ascii="Calibri" w:hAnsi="Calibri"/>
                <w:bCs/>
                <w:color w:val="505050"/>
                <w:sz w:val="22"/>
                <w:szCs w:val="22"/>
              </w:rPr>
              <w:t>Andy Sharp, CEO</w:t>
            </w:r>
          </w:p>
          <w:p>
            <w:pPr>
              <w:pStyle w:val="ListParagraph"/>
              <w:numPr>
                <w:ilvl w:val="0"/>
                <w:numId w:val="7"/>
              </w:numPr>
              <w:rPr>
                <w:rFonts w:eastAsia="+mn-ea" w:cs="+mn-cs" w:ascii="Calibri" w:hAnsi="Calibri"/>
                <w:bCs/>
                <w:color w:val="505050"/>
                <w:sz w:val="22"/>
                <w:szCs w:val="22"/>
              </w:rPr>
            </w:pPr>
            <w:r>
              <w:rPr>
                <w:rFonts w:eastAsia="+mn-ea" w:cs="+mn-cs" w:ascii="Calibri" w:hAnsi="Calibri"/>
                <w:bCs/>
                <w:color w:val="505050"/>
                <w:sz w:val="22"/>
                <w:szCs w:val="22"/>
              </w:rPr>
              <w:t>Peter Theunis, CTO</w:t>
            </w:r>
          </w:p>
          <w:p>
            <w:pPr>
              <w:pStyle w:val="ListParagraph"/>
              <w:numPr>
                <w:ilvl w:val="0"/>
                <w:numId w:val="7"/>
              </w:numPr>
              <w:rPr>
                <w:rFonts w:eastAsia="+mn-ea" w:cs="+mn-cs" w:ascii="Calibri" w:hAnsi="Calibri"/>
                <w:bCs/>
                <w:color w:val="505050"/>
                <w:sz w:val="22"/>
                <w:szCs w:val="22"/>
              </w:rPr>
            </w:pPr>
            <w:r>
              <w:rPr>
                <w:rFonts w:eastAsia="+mn-ea" w:cs="+mn-cs" w:ascii="Calibri" w:hAnsi="Calibri"/>
                <w:bCs/>
                <w:color w:val="505050"/>
                <w:sz w:val="22"/>
                <w:szCs w:val="22"/>
              </w:rPr>
              <w:t>Jack Mills, VP Engineering</w:t>
            </w:r>
          </w:p>
        </w:tc>
      </w:tr>
    </w:tbl>
    <w:p>
      <w:pPr>
        <w:pStyle w:val="Normal"/>
        <w:rPr/>
      </w:pPr>
      <w:r>
        <w:rPr/>
      </w:r>
    </w:p>
    <w:p>
      <w:pPr>
        <w:pStyle w:val="Normal"/>
        <w:jc w:val="center"/>
        <w:rPr>
          <w:b/>
          <w:sz w:val="28"/>
        </w:rPr>
      </w:pPr>
      <w:r>
        <w:rPr>
          <w:b/>
          <w:sz w:val="28"/>
        </w:rPr>
        <w:t>Typical Solution vs Lopoco Comparison</w:t>
      </w:r>
    </w:p>
    <w:p>
      <w:pPr>
        <w:pStyle w:val="Normal"/>
        <w:rPr>
          <w:b/>
          <w:sz w:val="28"/>
        </w:rPr>
      </w:pPr>
      <w:r>
        <w:rPr>
          <w:b/>
          <w:sz w:val="28"/>
        </w:rPr>
      </w:r>
    </w:p>
    <w:p>
      <w:pPr>
        <w:pStyle w:val="Normal"/>
        <w:rPr/>
      </w:pPr>
      <w:r>
        <w:rPr/>
        <w:drawing>
          <wp:inline distT="0" distB="0" distL="0" distR="0">
            <wp:extent cx="5943600" cy="29273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8"/>
                    <a:stretch>
                      <a:fillRect/>
                    </a:stretch>
                  </pic:blipFill>
                  <pic:spPr bwMode="auto">
                    <a:xfrm>
                      <a:off x="0" y="0"/>
                      <a:ext cx="5943600" cy="2927350"/>
                    </a:xfrm>
                    <a:prstGeom prst="rect">
                      <a:avLst/>
                    </a:prstGeom>
                    <a:noFill/>
                    <a:ln w="9525">
                      <a:noFill/>
                      <a:miter lim="800000"/>
                      <a:headEnd/>
                      <a:tailEnd/>
                    </a:ln>
                  </pic:spPr>
                </pic:pic>
              </a:graphicData>
            </a:graphic>
          </wp:inline>
        </w:drawing>
      </w:r>
    </w:p>
    <w:sectPr>
      <w:headerReference w:type="default" r:id="rId9"/>
      <w:footerReference w:type="default" r:id="rId10"/>
      <w:type w:val="nextPage"/>
      <w:pgSz w:w="12240" w:h="15840"/>
      <w:pgMar w:left="720" w:right="720" w:header="720" w:top="777" w:footer="720" w:bottom="7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1"/>
    <w:family w:val="swiss"/>
    <w:pitch w:val="variable"/>
  </w:font>
  <w:font w:name="Calibri">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numPr>
        <w:ilvl w:val="0"/>
        <w:numId w:val="8"/>
      </w:numPr>
      <w:tabs>
        <w:tab w:val="center" w:pos="4680" w:leader="none"/>
        <w:tab w:val="right" w:pos="9990" w:leader="none"/>
      </w:tabs>
      <w:spacing w:before="60" w:after="0"/>
      <w:rPr>
        <w:b/>
      </w:rPr>
    </w:pPr>
    <w:r>
      <w:rPr/>
      <w:tab/>
      <w:t>Inventergy and Inventergy Innovations Confidential</w:t>
      <w:tab/>
      <w:t xml:space="preserve">Page </w:t>
    </w:r>
    <w:r>
      <w:rPr>
        <w:b/>
      </w:rPr>
      <w:fldChar w:fldCharType="begin"/>
    </w:r>
    <w:r>
      <w:instrText> PAGE \*Arabic </w:instrText>
    </w:r>
    <w:r>
      <w:fldChar w:fldCharType="separate"/>
    </w:r>
    <w:r>
      <w:t>2</w:t>
    </w:r>
    <w:r>
      <w:fldChar w:fldCharType="end"/>
    </w:r>
    <w:r>
      <w:rPr/>
      <w:t xml:space="preserve"> of </w:t>
    </w:r>
    <w:r>
      <w:rPr>
        <w:b/>
      </w:rPr>
      <w:fldChar w:fldCharType="begin"/>
      <w:drawing>
        <wp:anchor behindDoc="1" distT="0" distB="0" distL="114300" distR="114300" simplePos="0" locked="0" layoutInCell="1" allowOverlap="1" relativeHeight="1">
          <wp:simplePos x="0" y="0"/>
          <wp:positionH relativeFrom="column">
            <wp:posOffset>5080</wp:posOffset>
          </wp:positionH>
          <wp:positionV relativeFrom="paragraph">
            <wp:posOffset>-49530</wp:posOffset>
          </wp:positionV>
          <wp:extent cx="1000125" cy="374650"/>
          <wp:effectExtent l="0" t="0" r="0" b="0"/>
          <wp:wrapNone/>
          <wp:docPr id="2" name="Picture" descr="inventergy-tag-solid-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inventergy-tag-solid-ppt.jpg"/>
                  <pic:cNvPicPr>
                    <a:picLocks noChangeAspect="1" noChangeArrowheads="1"/>
                  </pic:cNvPicPr>
                </pic:nvPicPr>
                <pic:blipFill>
                  <a:blip r:embed="rId1"/>
                  <a:stretch>
                    <a:fillRect/>
                  </a:stretch>
                </pic:blipFill>
                <pic:spPr bwMode="auto">
                  <a:xfrm>
                    <a:off x="0" y="0"/>
                    <a:ext cx="1000125" cy="374650"/>
                  </a:xfrm>
                  <a:prstGeom prst="rect">
                    <a:avLst/>
                  </a:prstGeom>
                  <a:noFill/>
                  <a:ln w="9525">
                    <a:noFill/>
                    <a:miter lim="800000"/>
                    <a:headEnd/>
                    <a:tailEnd/>
                  </a:ln>
                </pic:spPr>
              </pic:pic>
            </a:graphicData>
          </a:graphic>
        </wp:anchor>
      </w:drawing>
    </w:r>
    <w:r>
      <w:instrText> NUMPAGES \*Arabic </w:instrText>
    </w:r>
    <w:r>
      <w:fldChar w:fldCharType="separate"/>
    </w:r>
    <w:r>
      <w:t>2</w:t>
    </w:r>
    <w: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b/>
        <w:sz w:val="24"/>
      </w:rPr>
    </w:pPr>
    <w:r>
      <w:rPr>
        <w:b/>
        <w:sz w:val="28"/>
      </w:rPr>
      <w:t xml:space="preserve">Inventergy Innovations Client Summary </w:t>
      <w:tab/>
      <w:t>- Lopoco</w:t>
      <w:tab/>
    </w:r>
    <w:r>
      <w:rPr>
        <w:b/>
        <w:sz w:val="24"/>
      </w:rPr>
      <w:t>5/25/2016-draft</w:t>
    </w:r>
  </w:p>
  <w:p>
    <w:pPr>
      <w:pStyle w:val="Header"/>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5">
    <w:lvl w:ilvl="0">
      <w:start w:val="1"/>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Calibri" w:hAnsi="Calibri" w:cs="Calibri" w:hint="default"/>
      </w:rPr>
    </w:lvl>
    <w:lvl w:ilvl="2">
      <w:start w:val="1"/>
      <w:numFmt w:val="bullet"/>
      <w:lvlText w:val="–"/>
      <w:lvlJc w:val="left"/>
      <w:pPr>
        <w:tabs>
          <w:tab w:val="num" w:pos="1800"/>
        </w:tabs>
        <w:ind w:left="1800" w:hanging="360"/>
      </w:pPr>
      <w:rPr>
        <w:rFonts w:ascii="Calibri" w:hAnsi="Calibri" w:cs="Calibri" w:hint="default"/>
      </w:rPr>
    </w:lvl>
    <w:lvl w:ilvl="3">
      <w:start w:val="1"/>
      <w:numFmt w:val="bullet"/>
      <w:lvlText w:val="–"/>
      <w:lvlJc w:val="left"/>
      <w:pPr>
        <w:tabs>
          <w:tab w:val="num" w:pos="2520"/>
        </w:tabs>
        <w:ind w:left="2520" w:hanging="360"/>
      </w:pPr>
      <w:rPr>
        <w:rFonts w:ascii="Calibri" w:hAnsi="Calibri" w:cs="Calibri" w:hint="default"/>
      </w:rPr>
    </w:lvl>
    <w:lvl w:ilvl="4">
      <w:start w:val="1"/>
      <w:numFmt w:val="bullet"/>
      <w:lvlText w:val="–"/>
      <w:lvlJc w:val="left"/>
      <w:pPr>
        <w:tabs>
          <w:tab w:val="num" w:pos="3240"/>
        </w:tabs>
        <w:ind w:left="3240" w:hanging="360"/>
      </w:pPr>
      <w:rPr>
        <w:rFonts w:ascii="Calibri" w:hAnsi="Calibri" w:cs="Calibri" w:hint="default"/>
      </w:rPr>
    </w:lvl>
    <w:lvl w:ilvl="5">
      <w:start w:val="1"/>
      <w:numFmt w:val="bullet"/>
      <w:lvlText w:val="–"/>
      <w:lvlJc w:val="left"/>
      <w:pPr>
        <w:tabs>
          <w:tab w:val="num" w:pos="3960"/>
        </w:tabs>
        <w:ind w:left="3960" w:hanging="360"/>
      </w:pPr>
      <w:rPr>
        <w:rFonts w:ascii="Calibri" w:hAnsi="Calibri" w:cs="Calibri" w:hint="default"/>
      </w:rPr>
    </w:lvl>
    <w:lvl w:ilvl="6">
      <w:start w:val="1"/>
      <w:numFmt w:val="bullet"/>
      <w:lvlText w:val="–"/>
      <w:lvlJc w:val="left"/>
      <w:pPr>
        <w:tabs>
          <w:tab w:val="num" w:pos="4680"/>
        </w:tabs>
        <w:ind w:left="4680" w:hanging="360"/>
      </w:pPr>
      <w:rPr>
        <w:rFonts w:ascii="Calibri" w:hAnsi="Calibri" w:cs="Calibri" w:hint="default"/>
      </w:rPr>
    </w:lvl>
    <w:lvl w:ilvl="7">
      <w:start w:val="1"/>
      <w:numFmt w:val="bullet"/>
      <w:lvlText w:val="–"/>
      <w:lvlJc w:val="left"/>
      <w:pPr>
        <w:tabs>
          <w:tab w:val="num" w:pos="5400"/>
        </w:tabs>
        <w:ind w:left="5400" w:hanging="360"/>
      </w:pPr>
      <w:rPr>
        <w:rFonts w:ascii="Calibri" w:hAnsi="Calibri" w:cs="Calibri" w:hint="default"/>
      </w:rPr>
    </w:lvl>
    <w:lvl w:ilvl="8">
      <w:start w:val="1"/>
      <w:numFmt w:val="bullet"/>
      <w:lvlText w:val="–"/>
      <w:lvlJc w:val="left"/>
      <w:pPr>
        <w:tabs>
          <w:tab w:val="num" w:pos="6120"/>
        </w:tabs>
        <w:ind w:left="6120" w:hanging="360"/>
      </w:pPr>
      <w:rPr>
        <w:rFonts w:ascii="Calibri" w:hAnsi="Calibri" w:cs="Calibri" w:hint="default"/>
      </w:rPr>
    </w:lvl>
  </w:abstractNum>
  <w:abstractNum w:abstractNumId="6">
    <w:lvl w:ilvl="0">
      <w:start w:val="1"/>
      <w:numFmt w:val="bullet"/>
      <w:lvlText w:val="–"/>
      <w:lvlJc w:val="left"/>
      <w:pPr>
        <w:tabs>
          <w:tab w:val="num" w:pos="360"/>
        </w:tabs>
        <w:ind w:left="360" w:hanging="360"/>
      </w:pPr>
      <w:rPr>
        <w:rFonts w:ascii="Calibri" w:hAnsi="Calibri" w:cs="Calibri" w:hint="default"/>
      </w:rPr>
    </w:lvl>
    <w:lvl w:ilvl="1">
      <w:start w:val="1"/>
      <w:numFmt w:val="bullet"/>
      <w:lvlText w:val="–"/>
      <w:lvlJc w:val="left"/>
      <w:pPr>
        <w:tabs>
          <w:tab w:val="num" w:pos="1080"/>
        </w:tabs>
        <w:ind w:left="1080" w:hanging="360"/>
      </w:pPr>
      <w:rPr>
        <w:rFonts w:ascii="Calibri" w:hAnsi="Calibri" w:cs="Calibri" w:hint="default"/>
      </w:rPr>
    </w:lvl>
    <w:lvl w:ilvl="2">
      <w:start w:val="1"/>
      <w:numFmt w:val="bullet"/>
      <w:lvlText w:val="–"/>
      <w:lvlJc w:val="left"/>
      <w:pPr>
        <w:tabs>
          <w:tab w:val="num" w:pos="1800"/>
        </w:tabs>
        <w:ind w:left="1800" w:hanging="360"/>
      </w:pPr>
      <w:rPr>
        <w:rFonts w:ascii="Calibri" w:hAnsi="Calibri" w:cs="Calibri" w:hint="default"/>
      </w:rPr>
    </w:lvl>
    <w:lvl w:ilvl="3">
      <w:start w:val="1"/>
      <w:numFmt w:val="bullet"/>
      <w:lvlText w:val="–"/>
      <w:lvlJc w:val="left"/>
      <w:pPr>
        <w:tabs>
          <w:tab w:val="num" w:pos="2520"/>
        </w:tabs>
        <w:ind w:left="2520" w:hanging="360"/>
      </w:pPr>
      <w:rPr>
        <w:rFonts w:ascii="Calibri" w:hAnsi="Calibri" w:cs="Calibri" w:hint="default"/>
      </w:rPr>
    </w:lvl>
    <w:lvl w:ilvl="4">
      <w:start w:val="1"/>
      <w:numFmt w:val="bullet"/>
      <w:lvlText w:val="–"/>
      <w:lvlJc w:val="left"/>
      <w:pPr>
        <w:tabs>
          <w:tab w:val="num" w:pos="3240"/>
        </w:tabs>
        <w:ind w:left="3240" w:hanging="360"/>
      </w:pPr>
      <w:rPr>
        <w:rFonts w:ascii="Calibri" w:hAnsi="Calibri" w:cs="Calibri" w:hint="default"/>
      </w:rPr>
    </w:lvl>
    <w:lvl w:ilvl="5">
      <w:start w:val="1"/>
      <w:numFmt w:val="bullet"/>
      <w:lvlText w:val="–"/>
      <w:lvlJc w:val="left"/>
      <w:pPr>
        <w:tabs>
          <w:tab w:val="num" w:pos="3960"/>
        </w:tabs>
        <w:ind w:left="3960" w:hanging="360"/>
      </w:pPr>
      <w:rPr>
        <w:rFonts w:ascii="Calibri" w:hAnsi="Calibri" w:cs="Calibri" w:hint="default"/>
      </w:rPr>
    </w:lvl>
    <w:lvl w:ilvl="6">
      <w:start w:val="1"/>
      <w:numFmt w:val="bullet"/>
      <w:lvlText w:val="–"/>
      <w:lvlJc w:val="left"/>
      <w:pPr>
        <w:tabs>
          <w:tab w:val="num" w:pos="4680"/>
        </w:tabs>
        <w:ind w:left="4680" w:hanging="360"/>
      </w:pPr>
      <w:rPr>
        <w:rFonts w:ascii="Calibri" w:hAnsi="Calibri" w:cs="Calibri" w:hint="default"/>
      </w:rPr>
    </w:lvl>
    <w:lvl w:ilvl="7">
      <w:start w:val="1"/>
      <w:numFmt w:val="bullet"/>
      <w:lvlText w:val="–"/>
      <w:lvlJc w:val="left"/>
      <w:pPr>
        <w:tabs>
          <w:tab w:val="num" w:pos="5400"/>
        </w:tabs>
        <w:ind w:left="5400" w:hanging="360"/>
      </w:pPr>
      <w:rPr>
        <w:rFonts w:ascii="Calibri" w:hAnsi="Calibri" w:cs="Calibri" w:hint="default"/>
      </w:rPr>
    </w:lvl>
    <w:lvl w:ilvl="8">
      <w:start w:val="1"/>
      <w:numFmt w:val="bullet"/>
      <w:lvlText w:val="–"/>
      <w:lvlJc w:val="left"/>
      <w:pPr>
        <w:tabs>
          <w:tab w:val="num" w:pos="6120"/>
        </w:tabs>
        <w:ind w:left="6120" w:hanging="360"/>
      </w:pPr>
      <w:rPr>
        <w:rFonts w:ascii="Calibri" w:hAnsi="Calibri" w:cs="Calibri" w:hint="default"/>
      </w:rPr>
    </w:lvl>
  </w:abstractNum>
  <w:abstractNum w:abstractNumId="7">
    <w:lvl w:ilvl="0">
      <w:start w:val="1"/>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440"/>
        </w:tabs>
        <w:ind w:left="1440" w:hanging="360"/>
      </w:pPr>
      <w:rPr>
        <w:rFonts w:ascii="Calibri" w:hAnsi="Calibri" w:cs="Calibri" w:hint="default"/>
      </w:rPr>
    </w:lvl>
    <w:lvl w:ilvl="2">
      <w:start w:val="1"/>
      <w:numFmt w:val="bullet"/>
      <w:lvlText w:val="–"/>
      <w:lvlJc w:val="left"/>
      <w:pPr>
        <w:tabs>
          <w:tab w:val="num" w:pos="2160"/>
        </w:tabs>
        <w:ind w:left="2160" w:hanging="360"/>
      </w:pPr>
      <w:rPr>
        <w:rFonts w:ascii="Calibri" w:hAnsi="Calibri" w:cs="Calibri" w:hint="default"/>
      </w:rPr>
    </w:lvl>
    <w:lvl w:ilvl="3">
      <w:start w:val="1"/>
      <w:numFmt w:val="bullet"/>
      <w:lvlText w:val="–"/>
      <w:lvlJc w:val="left"/>
      <w:pPr>
        <w:tabs>
          <w:tab w:val="num" w:pos="2880"/>
        </w:tabs>
        <w:ind w:left="2880" w:hanging="360"/>
      </w:pPr>
      <w:rPr>
        <w:rFonts w:ascii="Calibri" w:hAnsi="Calibri" w:cs="Calibri" w:hint="default"/>
      </w:rPr>
    </w:lvl>
    <w:lvl w:ilvl="4">
      <w:start w:val="1"/>
      <w:numFmt w:val="bullet"/>
      <w:lvlText w:val="–"/>
      <w:lvlJc w:val="left"/>
      <w:pPr>
        <w:tabs>
          <w:tab w:val="num" w:pos="3600"/>
        </w:tabs>
        <w:ind w:left="3600" w:hanging="360"/>
      </w:pPr>
      <w:rPr>
        <w:rFonts w:ascii="Calibri" w:hAnsi="Calibri" w:cs="Calibri" w:hint="default"/>
      </w:rPr>
    </w:lvl>
    <w:lvl w:ilvl="5">
      <w:start w:val="1"/>
      <w:numFmt w:val="bullet"/>
      <w:lvlText w:val="–"/>
      <w:lvlJc w:val="left"/>
      <w:pPr>
        <w:tabs>
          <w:tab w:val="num" w:pos="4320"/>
        </w:tabs>
        <w:ind w:left="4320" w:hanging="360"/>
      </w:pPr>
      <w:rPr>
        <w:rFonts w:ascii="Calibri" w:hAnsi="Calibri" w:cs="Calibri" w:hint="default"/>
      </w:rPr>
    </w:lvl>
    <w:lvl w:ilvl="6">
      <w:start w:val="1"/>
      <w:numFmt w:val="bullet"/>
      <w:lvlText w:val="–"/>
      <w:lvlJc w:val="left"/>
      <w:pPr>
        <w:tabs>
          <w:tab w:val="num" w:pos="5040"/>
        </w:tabs>
        <w:ind w:left="5040" w:hanging="360"/>
      </w:pPr>
      <w:rPr>
        <w:rFonts w:ascii="Calibri" w:hAnsi="Calibri" w:cs="Calibri" w:hint="default"/>
      </w:rPr>
    </w:lvl>
    <w:lvl w:ilvl="7">
      <w:start w:val="1"/>
      <w:numFmt w:val="bullet"/>
      <w:lvlText w:val="–"/>
      <w:lvlJc w:val="left"/>
      <w:pPr>
        <w:tabs>
          <w:tab w:val="num" w:pos="5760"/>
        </w:tabs>
        <w:ind w:left="5760" w:hanging="360"/>
      </w:pPr>
      <w:rPr>
        <w:rFonts w:ascii="Calibri" w:hAnsi="Calibri" w:cs="Calibri" w:hint="default"/>
      </w:rPr>
    </w:lvl>
    <w:lvl w:ilvl="8">
      <w:start w:val="1"/>
      <w:numFmt w:val="bullet"/>
      <w:lvlText w:val="–"/>
      <w:lvlJc w:val="left"/>
      <w:pPr>
        <w:tabs>
          <w:tab w:val="num" w:pos="6480"/>
        </w:tabs>
        <w:ind w:left="6480" w:hanging="360"/>
      </w:pPr>
      <w:rPr>
        <w:rFonts w:ascii="Calibri" w:hAnsi="Calibri" w:cs="Calibri"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Calibri" w:hAnsi="Calibri" w:cs="Calibri" w:hint="default"/>
        <w:color w:val="505050"/>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9"/>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uiPriority w:val="99"/>
    <w:unhideWhenUsed/>
    <w:rsid w:val="00af6b92"/>
    <w:basedOn w:val="DefaultParagraphFont"/>
    <w:rPr>
      <w:color w:val="0000FF"/>
      <w:u w:val="single"/>
      <w:lang w:val="zxx" w:eastAsia="zxx" w:bidi="zxx"/>
    </w:rPr>
  </w:style>
  <w:style w:type="character" w:styleId="BalloonTextChar" w:customStyle="1">
    <w:name w:val="Balloon Text Char"/>
    <w:uiPriority w:val="99"/>
    <w:semiHidden/>
    <w:link w:val="BalloonText"/>
    <w:rsid w:val="00af6b92"/>
    <w:basedOn w:val="DefaultParagraphFont"/>
    <w:rPr>
      <w:rFonts w:ascii="Tahoma" w:hAnsi="Tahoma" w:cs="Tahoma"/>
      <w:sz w:val="16"/>
      <w:szCs w:val="16"/>
    </w:rPr>
  </w:style>
  <w:style w:type="character" w:styleId="HeaderChar" w:customStyle="1">
    <w:name w:val="Header Char"/>
    <w:uiPriority w:val="99"/>
    <w:link w:val="Header"/>
    <w:rsid w:val="00be55f2"/>
    <w:basedOn w:val="DefaultParagraphFont"/>
    <w:rPr/>
  </w:style>
  <w:style w:type="character" w:styleId="FooterChar" w:customStyle="1">
    <w:name w:val="Footer Char"/>
    <w:uiPriority w:val="99"/>
    <w:link w:val="Footer"/>
    <w:rsid w:val="00be55f2"/>
    <w:basedOn w:val="DefaultParagraphFont"/>
    <w:rPr/>
  </w:style>
  <w:style w:type="character" w:styleId="ListLabel1">
    <w:name w:val="ListLabel 1"/>
    <w:rPr>
      <w:rFonts w:cs="Courier New"/>
    </w:rPr>
  </w:style>
  <w:style w:type="character" w:styleId="ListLabel2">
    <w:name w:val="ListLabel 2"/>
    <w:rPr>
      <w:rFonts w:eastAsia="+mn-ea" w:cs="+mn-cs"/>
      <w:b/>
      <w:color w:val="50505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unhideWhenUsed/>
    <w:rsid w:val="00af6b92"/>
    <w:basedOn w:val="Normal"/>
    <w:pPr>
      <w:spacing w:before="0" w:after="280"/>
    </w:pPr>
    <w:rPr>
      <w:rFonts w:ascii="Times New Roman" w:hAnsi="Times New Roman" w:eastAsia="Times New Roman" w:cs="Times New Roman"/>
      <w:sz w:val="24"/>
      <w:szCs w:val="24"/>
    </w:rPr>
  </w:style>
  <w:style w:type="paragraph" w:styleId="ListParagraph">
    <w:name w:val="List Paragraph"/>
    <w:uiPriority w:val="34"/>
    <w:qFormat/>
    <w:rsid w:val="00af6b92"/>
    <w:basedOn w:val="Normal"/>
    <w:pPr>
      <w:spacing w:before="0" w:after="0"/>
      <w:ind w:left="720" w:right="0" w:hanging="0"/>
      <w:contextualSpacing/>
    </w:pPr>
    <w:rPr>
      <w:rFonts w:ascii="Times New Roman" w:hAnsi="Times New Roman" w:eastAsia="Times New Roman" w:cs="Times New Roman"/>
      <w:sz w:val="24"/>
      <w:szCs w:val="24"/>
    </w:rPr>
  </w:style>
  <w:style w:type="paragraph" w:styleId="BalloonText">
    <w:name w:val="Balloon Text"/>
    <w:uiPriority w:val="99"/>
    <w:semiHidden/>
    <w:unhideWhenUsed/>
    <w:link w:val="BalloonTextChar"/>
    <w:rsid w:val="00af6b92"/>
    <w:basedOn w:val="Normal"/>
    <w:pPr/>
    <w:rPr>
      <w:rFonts w:ascii="Tahoma" w:hAnsi="Tahoma" w:cs="Tahoma"/>
      <w:sz w:val="16"/>
      <w:szCs w:val="16"/>
    </w:rPr>
  </w:style>
  <w:style w:type="paragraph" w:styleId="Header">
    <w:name w:val="Header"/>
    <w:uiPriority w:val="99"/>
    <w:unhideWhenUsed/>
    <w:link w:val="HeaderChar"/>
    <w:rsid w:val="00be55f2"/>
    <w:basedOn w:val="Normal"/>
    <w:pPr>
      <w:tabs>
        <w:tab w:val="center" w:pos="4680" w:leader="none"/>
        <w:tab w:val="right" w:pos="9360" w:leader="none"/>
      </w:tabs>
    </w:pPr>
    <w:rPr/>
  </w:style>
  <w:style w:type="paragraph" w:styleId="Footer">
    <w:name w:val="Footer"/>
    <w:uiPriority w:val="99"/>
    <w:unhideWhenUsed/>
    <w:link w:val="FooterChar"/>
    <w:rsid w:val="00be55f2"/>
    <w:basedOn w:val="Normal"/>
    <w:pPr>
      <w:tabs>
        <w:tab w:val="center" w:pos="4680" w:leader="none"/>
        <w:tab w:val="right" w:pos="9360" w:leader="none"/>
      </w:tab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af6b92"/>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opoco.com/" TargetMode="External"/><Relationship Id="rId4" Type="http://schemas.openxmlformats.org/officeDocument/2006/relationships/hyperlink" Target="mailto:andy@lopoco.com" TargetMode="External"/><Relationship Id="rId5" Type="http://schemas.openxmlformats.org/officeDocument/2006/relationships/hyperlink" Target="mailto:ken@inventergy.com" TargetMode="External"/><Relationship Id="rId6" Type="http://schemas.openxmlformats.org/officeDocument/2006/relationships/hyperlink" Target="http://lopoco.net/white-papers/TheNewNormalWhitePaper.html" TargetMode="External"/><Relationship Id="rId7" Type="http://schemas.openxmlformats.org/officeDocument/2006/relationships/hyperlink" Target="http://www.crn.com/slide-shows/data-center/240164479/the-10-coolest-servers-of-2013.htm/pgno/4/5" TargetMode="External"/><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2016-05-25T14:44:00Z</dcterms:created>
  <dc:creator>loeb</dc:creator>
  <dc:language>en-US</dc:language>
  <cp:lastModifiedBy>loeb</cp:lastModifiedBy>
  <dcterms:modified xsi:type="dcterms:W3CDTF">2016-05-25T14:54:00Z</dcterms:modified>
  <cp:revision>3</cp:revision>
</cp:coreProperties>
</file>