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0.0 -->
  <w:body>
    <w:p w:rsidR="007B6D73" w:rsidRPr="00FD76DE">
      <w:pPr>
        <w:pStyle w:val="Title"/>
        <w:spacing w:after="0"/>
        <w:rPr>
          <w:sz w:val="24"/>
          <w:szCs w:val="24"/>
        </w:rPr>
      </w:pPr>
      <w:bookmarkStart w:id="0" w:name="_GoBack"/>
      <w:bookmarkEnd w:id="0"/>
      <w:r w:rsidRPr="00FD76DE">
        <w:rPr>
          <w:sz w:val="24"/>
          <w:szCs w:val="24"/>
        </w:rPr>
        <w:t>ACTION BY WRITTEN CONSENT</w:t>
      </w:r>
    </w:p>
    <w:p w:rsidR="007B6D73" w:rsidRPr="00FD76DE">
      <w:pPr>
        <w:pStyle w:val="Title"/>
        <w:spacing w:after="0"/>
        <w:rPr>
          <w:sz w:val="24"/>
          <w:szCs w:val="24"/>
        </w:rPr>
      </w:pPr>
      <w:r w:rsidRPr="00FD76DE">
        <w:rPr>
          <w:i/>
          <w:sz w:val="24"/>
          <w:szCs w:val="24"/>
        </w:rPr>
        <w:t>of</w:t>
      </w:r>
      <w:r w:rsidRPr="00FD76DE">
        <w:rPr>
          <w:sz w:val="24"/>
          <w:szCs w:val="24"/>
        </w:rPr>
        <w:t xml:space="preserve"> </w:t>
      </w:r>
      <w:r w:rsidRPr="00FD76DE">
        <w:rPr>
          <w:sz w:val="24"/>
          <w:szCs w:val="24"/>
        </w:rPr>
        <w:br/>
        <w:t>THE STOCKHOLDER OF</w:t>
      </w:r>
    </w:p>
    <w:p w:rsidR="007B6D73" w:rsidRPr="00FD76DE">
      <w:pPr>
        <w:spacing w:after="480"/>
        <w:jc w:val="center"/>
        <w:rPr>
          <w:b/>
          <w:caps/>
          <w:szCs w:val="24"/>
        </w:rPr>
      </w:pPr>
      <w:r>
        <w:rPr>
          <w:b/>
          <w:caps/>
          <w:noProof/>
          <w:szCs w:val="24"/>
        </w:rPr>
        <w:t>GENERAL BLOCKCHAIN</w:t>
      </w:r>
      <w:r w:rsidRPr="00FD76DE">
        <w:rPr>
          <w:b/>
          <w:caps/>
          <w:noProof/>
          <w:szCs w:val="24"/>
        </w:rPr>
        <w:t>, Inc.</w:t>
      </w:r>
    </w:p>
    <w:p w:rsidR="007B6D73" w:rsidRPr="00FD76DE">
      <w:pPr>
        <w:pStyle w:val="vlg-double"/>
        <w:spacing w:after="240" w:line="360" w:lineRule="auto"/>
        <w:jc w:val="both"/>
        <w:rPr>
          <w:szCs w:val="24"/>
        </w:rPr>
      </w:pPr>
      <w:r>
        <w:rPr>
          <w:szCs w:val="24"/>
        </w:rPr>
        <w:t>The undersigned sole stockholder</w:t>
      </w:r>
      <w:r w:rsidRPr="00FD76DE">
        <w:rPr>
          <w:szCs w:val="24"/>
        </w:rPr>
        <w:t xml:space="preserve"> of </w:t>
      </w:r>
      <w:r>
        <w:rPr>
          <w:noProof/>
          <w:szCs w:val="24"/>
        </w:rPr>
        <w:t>General Blockchain</w:t>
      </w:r>
      <w:r w:rsidRPr="00FD76DE">
        <w:rPr>
          <w:noProof/>
          <w:szCs w:val="24"/>
        </w:rPr>
        <w:t>, Inc.</w:t>
      </w:r>
      <w:r w:rsidRPr="00FD76DE">
        <w:rPr>
          <w:szCs w:val="24"/>
        </w:rPr>
        <w:t>, a Delaware corporation (the “</w:t>
      </w:r>
      <w:r w:rsidRPr="00FD76DE">
        <w:rPr>
          <w:b/>
          <w:szCs w:val="24"/>
        </w:rPr>
        <w:t>Corporation</w:t>
      </w:r>
      <w:r w:rsidRPr="00FD76DE">
        <w:rPr>
          <w:szCs w:val="24"/>
        </w:rPr>
        <w:t xml:space="preserve">”), pursuant to Section 228 of the Delaware General Corporation Law and in </w:t>
      </w:r>
      <w:r w:rsidRPr="00FD76DE">
        <w:rPr>
          <w:szCs w:val="24"/>
        </w:rPr>
        <w:t>accordance with the Certificate of Incorporation and the Bylaws of the Corporation, do</w:t>
      </w:r>
      <w:r>
        <w:rPr>
          <w:szCs w:val="24"/>
        </w:rPr>
        <w:t>es</w:t>
      </w:r>
      <w:r w:rsidRPr="00FD76DE">
        <w:rPr>
          <w:szCs w:val="24"/>
        </w:rPr>
        <w:t xml:space="preserve"> hereby adopt the resolutions attached hereto as </w:t>
      </w:r>
      <w:r w:rsidRPr="00FD76DE">
        <w:rPr>
          <w:szCs w:val="24"/>
          <w:u w:val="single"/>
        </w:rPr>
        <w:t>Annex I</w:t>
      </w:r>
      <w:r w:rsidRPr="00FD76DE">
        <w:rPr>
          <w:szCs w:val="24"/>
        </w:rPr>
        <w:t xml:space="preserve"> by this written consent, which action shall have the same force and effect as though taken at a meeting duly an</w:t>
      </w:r>
      <w:r w:rsidRPr="00FD76DE">
        <w:rPr>
          <w:szCs w:val="24"/>
        </w:rPr>
        <w:t>d validly noticed and held.</w:t>
      </w:r>
    </w:p>
    <w:p w:rsidR="007B6D73" w:rsidRPr="00FD76DE">
      <w:pPr>
        <w:pStyle w:val="vlg-double"/>
        <w:spacing w:after="240" w:line="360" w:lineRule="auto"/>
        <w:jc w:val="both"/>
        <w:rPr>
          <w:szCs w:val="24"/>
        </w:rPr>
      </w:pPr>
      <w:r w:rsidRPr="00FD76DE">
        <w:rPr>
          <w:szCs w:val="24"/>
        </w:rPr>
        <w:t>This Action by Written Consent shall be filed with the minutes of the proceedings of the stockholders of the Corporation and shall be effective on the date set forth below.</w:t>
      </w:r>
    </w:p>
    <w:p w:rsidR="007B6D73" w:rsidRPr="00FD76DE">
      <w:pPr>
        <w:pStyle w:val="vlg-double"/>
        <w:spacing w:after="720" w:line="360" w:lineRule="auto"/>
        <w:jc w:val="both"/>
        <w:rPr>
          <w:szCs w:val="24"/>
        </w:rPr>
      </w:pPr>
      <w:r w:rsidRPr="00FD76DE">
        <w:rPr>
          <w:b/>
          <w:szCs w:val="24"/>
        </w:rPr>
        <w:t>In Witness Whereof</w:t>
      </w:r>
      <w:r w:rsidRPr="00FD76DE">
        <w:rPr>
          <w:szCs w:val="24"/>
        </w:rPr>
        <w:t>, the undersigned has executed this A</w:t>
      </w:r>
      <w:r w:rsidRPr="00FD76DE">
        <w:rPr>
          <w:szCs w:val="24"/>
        </w:rPr>
        <w:t xml:space="preserve">ction by Written Consent as of the </w:t>
      </w:r>
      <w:r w:rsidRPr="00FD76DE">
        <w:rPr>
          <w:noProof/>
          <w:szCs w:val="24"/>
        </w:rPr>
        <w:t>___</w:t>
      </w:r>
      <w:r w:rsidRPr="00FD76DE">
        <w:rPr>
          <w:szCs w:val="24"/>
        </w:rPr>
        <w:t xml:space="preserve"> day of </w:t>
      </w:r>
      <w:r>
        <w:rPr>
          <w:szCs w:val="24"/>
        </w:rPr>
        <w:t>J</w:t>
      </w:r>
      <w:r>
        <w:rPr>
          <w:szCs w:val="24"/>
        </w:rPr>
        <w:t>uly</w:t>
      </w:r>
      <w:r w:rsidRPr="00FD76DE">
        <w:rPr>
          <w:noProof/>
          <w:szCs w:val="24"/>
        </w:rPr>
        <w:t xml:space="preserve">, </w:t>
      </w:r>
      <w:r>
        <w:rPr>
          <w:noProof/>
          <w:szCs w:val="24"/>
        </w:rPr>
        <w:t>2015</w:t>
      </w:r>
      <w:r w:rsidRPr="00FD76DE">
        <w:rPr>
          <w:szCs w:val="24"/>
        </w:rPr>
        <w:t>.</w:t>
      </w:r>
    </w:p>
    <w:p w:rsidR="007B6D73" w:rsidRPr="00FD76DE">
      <w:pPr>
        <w:pStyle w:val="DirectorSignatureBlocks"/>
        <w:rPr>
          <w:szCs w:val="24"/>
          <w:u w:val="single"/>
        </w:rPr>
      </w:pPr>
      <w:r w:rsidRPr="00FD76DE">
        <w:rPr>
          <w:szCs w:val="24"/>
          <w:u w:val="single"/>
        </w:rPr>
        <w:tab/>
      </w:r>
      <w:r w:rsidRPr="00FD76DE">
        <w:rPr>
          <w:szCs w:val="24"/>
          <w:u w:val="single"/>
        </w:rPr>
        <w:tab/>
      </w:r>
      <w:r w:rsidRPr="00FD76DE">
        <w:rPr>
          <w:szCs w:val="24"/>
          <w:u w:val="single"/>
        </w:rPr>
        <w:tab/>
      </w:r>
      <w:r w:rsidRPr="00FD76DE">
        <w:rPr>
          <w:szCs w:val="24"/>
          <w:u w:val="single"/>
        </w:rPr>
        <w:tab/>
      </w:r>
      <w:r w:rsidRPr="00FD76DE">
        <w:rPr>
          <w:szCs w:val="24"/>
          <w:u w:val="single"/>
        </w:rPr>
        <w:tab/>
      </w:r>
      <w:r w:rsidRPr="00FD76DE">
        <w:rPr>
          <w:szCs w:val="24"/>
          <w:u w:val="single"/>
        </w:rPr>
        <w:tab/>
      </w:r>
    </w:p>
    <w:p w:rsidR="007B6D73" w:rsidRPr="00FD76DE">
      <w:pPr>
        <w:pStyle w:val="DirectorSignatureBlocks"/>
        <w:spacing w:after="720"/>
        <w:rPr>
          <w:szCs w:val="24"/>
        </w:rPr>
      </w:pPr>
      <w:r>
        <w:rPr>
          <w:szCs w:val="24"/>
        </w:rPr>
        <w:t>Andrew Gough</w:t>
      </w:r>
    </w:p>
    <w:p w:rsidR="007B6D73" w:rsidRPr="00A3029F" w:rsidP="00A3029F">
      <w:pPr>
        <w:pStyle w:val="DirectorSignatureBlocks"/>
        <w:rPr>
          <w:szCs w:val="24"/>
          <w:u w:val="single"/>
        </w:rPr>
        <w:sectPr>
          <w:footerReference w:type="default" r:id="rId4"/>
          <w:footerReference w:type="first" r:id="rId5"/>
          <w:pgSz w:w="12240" w:h="15840" w:code="1"/>
          <w:pgMar w:top="1440" w:right="1440" w:bottom="1440" w:left="1440" w:header="720" w:footer="720" w:gutter="0"/>
          <w:paperSrc w:first="15" w:other="15"/>
          <w:pgNumType w:start="1"/>
          <w:cols w:space="720"/>
          <w:titlePg/>
        </w:sectPr>
      </w:pPr>
    </w:p>
    <w:p w:rsidR="007B6D73" w:rsidRPr="00FD76DE">
      <w:pPr>
        <w:pStyle w:val="BodyText2"/>
        <w:spacing w:after="240" w:line="240" w:lineRule="auto"/>
        <w:jc w:val="center"/>
        <w:rPr>
          <w:b/>
          <w:sz w:val="24"/>
          <w:szCs w:val="24"/>
          <w:u w:val="single"/>
        </w:rPr>
      </w:pPr>
      <w:r w:rsidRPr="00FD76DE">
        <w:rPr>
          <w:b/>
          <w:sz w:val="24"/>
          <w:szCs w:val="24"/>
          <w:u w:val="single"/>
        </w:rPr>
        <w:t>ANNEX I</w:t>
      </w:r>
    </w:p>
    <w:p w:rsidR="007B6D73" w:rsidRPr="00FD76DE">
      <w:pPr>
        <w:pStyle w:val="BodyText2"/>
        <w:spacing w:after="0" w:line="240" w:lineRule="auto"/>
        <w:jc w:val="center"/>
        <w:rPr>
          <w:b/>
          <w:sz w:val="24"/>
          <w:szCs w:val="24"/>
        </w:rPr>
      </w:pPr>
      <w:r w:rsidRPr="00FD76DE">
        <w:rPr>
          <w:b/>
          <w:sz w:val="24"/>
          <w:szCs w:val="24"/>
        </w:rPr>
        <w:t>RESOLUTIONS OF THE STOCKHOLDERS OF</w:t>
      </w:r>
    </w:p>
    <w:p w:rsidR="007B6D73" w:rsidRPr="00FD76DE">
      <w:pPr>
        <w:pStyle w:val="BodyText2"/>
        <w:spacing w:after="0" w:line="240" w:lineRule="auto"/>
        <w:jc w:val="center"/>
        <w:rPr>
          <w:b/>
          <w:caps/>
          <w:sz w:val="24"/>
          <w:szCs w:val="24"/>
        </w:rPr>
      </w:pPr>
      <w:r>
        <w:rPr>
          <w:b/>
          <w:caps/>
          <w:noProof/>
          <w:sz w:val="24"/>
          <w:szCs w:val="24"/>
        </w:rPr>
        <w:t>General Blockchain</w:t>
      </w:r>
      <w:r w:rsidRPr="00FD76DE">
        <w:rPr>
          <w:b/>
          <w:caps/>
          <w:noProof/>
          <w:sz w:val="24"/>
          <w:szCs w:val="24"/>
        </w:rPr>
        <w:t>, Inc.</w:t>
      </w:r>
    </w:p>
    <w:p w:rsidR="007B6D73" w:rsidRPr="00FD76DE">
      <w:pPr>
        <w:pStyle w:val="BodyText2"/>
        <w:spacing w:after="0" w:line="240" w:lineRule="auto"/>
        <w:jc w:val="center"/>
        <w:rPr>
          <w:b/>
          <w:caps/>
          <w:sz w:val="24"/>
          <w:szCs w:val="24"/>
        </w:rPr>
      </w:pPr>
    </w:p>
    <w:p w:rsidR="007B6D73" w:rsidRPr="00FD76DE">
      <w:pPr>
        <w:pStyle w:val="BodyText2"/>
        <w:spacing w:after="0" w:line="240" w:lineRule="auto"/>
        <w:jc w:val="center"/>
        <w:rPr>
          <w:b/>
          <w:sz w:val="24"/>
          <w:szCs w:val="24"/>
        </w:rPr>
      </w:pPr>
    </w:p>
    <w:p w:rsidR="007B6D73" w:rsidRPr="00FD76DE">
      <w:pPr>
        <w:pStyle w:val="Heading1"/>
        <w:numPr>
          <w:ilvl w:val="0"/>
          <w:numId w:val="0"/>
        </w:numPr>
        <w:jc w:val="both"/>
        <w:rPr>
          <w:b/>
          <w:smallCaps/>
          <w:szCs w:val="24"/>
          <w:u w:val="single"/>
        </w:rPr>
      </w:pPr>
      <w:r w:rsidRPr="00FD76DE">
        <w:rPr>
          <w:b/>
          <w:smallCaps/>
          <w:szCs w:val="24"/>
          <w:u w:val="single"/>
        </w:rPr>
        <w:t>Adoption of Equity Incentive Plan</w:t>
      </w:r>
    </w:p>
    <w:p w:rsidR="007B6D73" w:rsidRPr="00FD76DE">
      <w:pPr>
        <w:rPr>
          <w:szCs w:val="24"/>
        </w:rPr>
      </w:pPr>
    </w:p>
    <w:p w:rsidR="007B6D73" w:rsidRPr="00FD76DE">
      <w:pPr>
        <w:pStyle w:val="Heading3"/>
        <w:numPr>
          <w:ilvl w:val="0"/>
          <w:numId w:val="0"/>
        </w:numPr>
        <w:spacing w:after="240"/>
        <w:ind w:left="720" w:right="720" w:firstLine="720"/>
        <w:jc w:val="both"/>
        <w:rPr>
          <w:szCs w:val="24"/>
        </w:rPr>
      </w:pPr>
      <w:r w:rsidRPr="00FD76DE">
        <w:rPr>
          <w:rStyle w:val="Strong"/>
          <w:b w:val="0"/>
          <w:smallCaps/>
          <w:szCs w:val="24"/>
        </w:rPr>
        <w:t>Whereas</w:t>
      </w:r>
      <w:r w:rsidRPr="00FD76DE">
        <w:rPr>
          <w:szCs w:val="24"/>
        </w:rPr>
        <w:t>, the Board of Directors of the Corporation (the “</w:t>
      </w:r>
      <w:r w:rsidRPr="00FD76DE">
        <w:rPr>
          <w:b/>
          <w:szCs w:val="24"/>
        </w:rPr>
        <w:t>Board</w:t>
      </w:r>
      <w:r w:rsidRPr="00FD76DE">
        <w:rPr>
          <w:szCs w:val="24"/>
        </w:rPr>
        <w:t xml:space="preserve">”) has previously adopted the </w:t>
      </w:r>
      <w:r>
        <w:rPr>
          <w:noProof/>
          <w:szCs w:val="24"/>
        </w:rPr>
        <w:t>General Blockchain</w:t>
      </w:r>
      <w:r w:rsidRPr="00FD76DE">
        <w:rPr>
          <w:noProof/>
          <w:szCs w:val="24"/>
        </w:rPr>
        <w:t>, Inc.</w:t>
      </w:r>
      <w:r w:rsidRPr="00FD76DE">
        <w:rPr>
          <w:szCs w:val="24"/>
        </w:rPr>
        <w:t xml:space="preserve"> </w:t>
      </w:r>
      <w:r>
        <w:rPr>
          <w:noProof/>
          <w:szCs w:val="24"/>
        </w:rPr>
        <w:t>2015</w:t>
      </w:r>
      <w:r w:rsidRPr="00FD76DE">
        <w:rPr>
          <w:szCs w:val="24"/>
        </w:rPr>
        <w:t xml:space="preserve"> Equity Incentive Plan (the “</w:t>
      </w:r>
      <w:r w:rsidRPr="00FD76DE">
        <w:rPr>
          <w:b/>
          <w:szCs w:val="24"/>
        </w:rPr>
        <w:t>Plan</w:t>
      </w:r>
      <w:r w:rsidRPr="00FD76DE">
        <w:rPr>
          <w:szCs w:val="24"/>
        </w:rPr>
        <w:t>”) as</w:t>
      </w:r>
      <w:r w:rsidRPr="00FD76DE">
        <w:rPr>
          <w:szCs w:val="24"/>
        </w:rPr>
        <w:t xml:space="preserve"> an equity incentive program under which employees (including officers), Board members and consultants in the service of the Corporation or its parent or subsidiary corporations may be offered the opportunity to acquire a proprietary interest in the Corpor</w:t>
      </w:r>
      <w:r w:rsidRPr="00FD76DE">
        <w:rPr>
          <w:szCs w:val="24"/>
        </w:rPr>
        <w:t>ation.</w:t>
      </w:r>
    </w:p>
    <w:p w:rsidR="007B6D73" w:rsidRPr="00FD76DE">
      <w:pPr>
        <w:pStyle w:val="Heading3"/>
        <w:numPr>
          <w:ilvl w:val="0"/>
          <w:numId w:val="0"/>
        </w:numPr>
        <w:spacing w:after="240"/>
        <w:ind w:left="720" w:right="720" w:firstLine="720"/>
        <w:jc w:val="both"/>
        <w:rPr>
          <w:szCs w:val="24"/>
        </w:rPr>
      </w:pPr>
      <w:r w:rsidRPr="00FD76DE">
        <w:rPr>
          <w:rStyle w:val="Strong"/>
          <w:b w:val="0"/>
          <w:smallCaps/>
          <w:szCs w:val="24"/>
        </w:rPr>
        <w:t xml:space="preserve">Now, Therefore, Be It </w:t>
      </w:r>
      <w:r w:rsidRPr="00FD76DE">
        <w:rPr>
          <w:bCs/>
          <w:smallCaps/>
          <w:szCs w:val="24"/>
        </w:rPr>
        <w:t>Resolved,</w:t>
      </w:r>
      <w:r w:rsidRPr="00FD76DE">
        <w:rPr>
          <w:szCs w:val="24"/>
        </w:rPr>
        <w:t xml:space="preserve"> that the Plan, in substantially the form approved by the Board and attached hereto as </w:t>
      </w:r>
      <w:r w:rsidRPr="00FD76DE">
        <w:rPr>
          <w:szCs w:val="24"/>
          <w:u w:val="single"/>
        </w:rPr>
        <w:t>Exhibit A</w:t>
      </w:r>
      <w:r w:rsidRPr="00FD76DE">
        <w:rPr>
          <w:szCs w:val="24"/>
        </w:rPr>
        <w:t xml:space="preserve">, pursuant to which </w:t>
      </w:r>
      <w:r>
        <w:rPr>
          <w:szCs w:val="24"/>
        </w:rPr>
        <w:t>5</w:t>
      </w:r>
      <w:r w:rsidRPr="00FD76DE">
        <w:rPr>
          <w:noProof/>
          <w:szCs w:val="24"/>
        </w:rPr>
        <w:t>00,000</w:t>
      </w:r>
      <w:r w:rsidRPr="00FD76DE">
        <w:rPr>
          <w:szCs w:val="24"/>
        </w:rPr>
        <w:t xml:space="preserve"> shares of the Corporation’s common stock have been reserved for issuance, be, and such Plan he</w:t>
      </w:r>
      <w:r w:rsidRPr="00FD76DE">
        <w:rPr>
          <w:szCs w:val="24"/>
        </w:rPr>
        <w:t>reby is, approved in its entirety as an equity incentive program for employees (including officers), Board members and consultants in the service of the Corporation and its parent or subsidiary corporations.</w:t>
      </w:r>
    </w:p>
    <w:p w:rsidR="007B6D73" w:rsidRPr="00FD76DE">
      <w:pPr>
        <w:pStyle w:val="Heading1"/>
        <w:numPr>
          <w:ilvl w:val="0"/>
          <w:numId w:val="0"/>
        </w:numPr>
        <w:spacing w:after="240"/>
        <w:rPr>
          <w:b/>
          <w:smallCaps/>
          <w:szCs w:val="24"/>
        </w:rPr>
      </w:pPr>
      <w:r w:rsidRPr="00FD76DE">
        <w:rPr>
          <w:b/>
          <w:smallCaps/>
          <w:szCs w:val="24"/>
          <w:u w:val="single"/>
        </w:rPr>
        <w:t>General Authority</w:t>
      </w:r>
    </w:p>
    <w:p w:rsidR="007B6D73" w:rsidRPr="00FD76DE">
      <w:pPr>
        <w:pStyle w:val="Heading3"/>
        <w:numPr>
          <w:ilvl w:val="0"/>
          <w:numId w:val="0"/>
        </w:numPr>
        <w:spacing w:after="240"/>
        <w:ind w:left="720" w:right="720" w:firstLine="720"/>
        <w:jc w:val="both"/>
        <w:rPr>
          <w:szCs w:val="24"/>
        </w:rPr>
      </w:pPr>
      <w:r w:rsidRPr="00FD76DE">
        <w:rPr>
          <w:bCs/>
          <w:smallCaps/>
          <w:szCs w:val="24"/>
        </w:rPr>
        <w:t>Resolved</w:t>
      </w:r>
      <w:r w:rsidRPr="00FD76DE">
        <w:rPr>
          <w:szCs w:val="24"/>
        </w:rPr>
        <w:t>, that any and all act</w:t>
      </w:r>
      <w:r w:rsidRPr="00FD76DE">
        <w:rPr>
          <w:szCs w:val="24"/>
        </w:rPr>
        <w:t>ions previously taken by the Corporation’s officers and directors, which are consistent with and in furtherance of the intent and purposes of the foregoing resolutions and the consummation of the transactions contemplated therein, shall be and the same her</w:t>
      </w:r>
      <w:r w:rsidRPr="00FD76DE">
        <w:rPr>
          <w:szCs w:val="24"/>
        </w:rPr>
        <w:t>eby are, in all respects, ratified, approved and confirmed.</w:t>
      </w:r>
    </w:p>
    <w:p w:rsidR="007B6D73" w:rsidRPr="00FD76DE">
      <w:pPr>
        <w:pStyle w:val="Heading3"/>
        <w:numPr>
          <w:ilvl w:val="0"/>
          <w:numId w:val="0"/>
        </w:numPr>
        <w:spacing w:after="240"/>
        <w:ind w:left="720" w:right="720" w:firstLine="720"/>
        <w:jc w:val="both"/>
        <w:rPr>
          <w:szCs w:val="24"/>
        </w:rPr>
      </w:pPr>
      <w:r w:rsidRPr="00FD76DE">
        <w:rPr>
          <w:bCs/>
          <w:smallCaps/>
          <w:szCs w:val="24"/>
        </w:rPr>
        <w:t>Resolved Further</w:t>
      </w:r>
      <w:r w:rsidRPr="00FD76DE">
        <w:rPr>
          <w:szCs w:val="24"/>
        </w:rPr>
        <w:t>, that the Corporation’s officers and such persons appointed to act on their behalf pursuant to the foregoing resolutions are hereby authorized and directed in the name of the Corp</w:t>
      </w:r>
      <w:r w:rsidRPr="00FD76DE">
        <w:rPr>
          <w:szCs w:val="24"/>
        </w:rPr>
        <w:t xml:space="preserve">oration and on its behalf, to execute any additional certificates, agreements, instruments or documents, or any amendments or supplements thereto, or to do or to cause to be done any and all other acts as they deem necessary, appropriate or in furtherance </w:t>
      </w:r>
      <w:r w:rsidRPr="00FD76DE">
        <w:rPr>
          <w:szCs w:val="24"/>
        </w:rPr>
        <w:t>of the purposes of each of the foregoing resolutions and the transactions contemplated therein.</w:t>
      </w:r>
    </w:p>
    <w:p w:rsidR="007B6D73" w:rsidRPr="00FD76DE">
      <w:pPr>
        <w:pStyle w:val="BodyText"/>
        <w:rPr>
          <w:sz w:val="24"/>
          <w:szCs w:val="24"/>
        </w:rPr>
      </w:pPr>
    </w:p>
    <w:p w:rsidR="007B6D73" w:rsidRPr="00FD76DE">
      <w:pPr>
        <w:pStyle w:val="SectionBreakAnchor"/>
        <w:spacing w:before="120" w:after="240"/>
        <w:jc w:val="center"/>
        <w:rPr>
          <w:b/>
          <w:i/>
          <w:szCs w:val="24"/>
        </w:rPr>
      </w:pPr>
      <w:r w:rsidRPr="00FD76DE">
        <w:rPr>
          <w:b/>
          <w:i/>
          <w:szCs w:val="24"/>
        </w:rPr>
        <w:t>[Remainder of this page intentionally left blank]</w:t>
      </w:r>
    </w:p>
    <w:p w:rsidR="007B6D73" w:rsidRPr="00FD76DE">
      <w:pPr>
        <w:pStyle w:val="Title"/>
        <w:jc w:val="both"/>
        <w:rPr>
          <w:sz w:val="24"/>
          <w:szCs w:val="24"/>
        </w:rPr>
        <w:sectPr>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paperSrc w:first="15" w:other="15"/>
          <w:cols w:space="720"/>
          <w:noEndnote/>
          <w:titlePg/>
        </w:sectPr>
      </w:pPr>
    </w:p>
    <w:p w:rsidR="007B6D73" w:rsidRPr="00FD76DE">
      <w:pPr>
        <w:pStyle w:val="Title"/>
        <w:rPr>
          <w:sz w:val="24"/>
          <w:szCs w:val="24"/>
        </w:rPr>
      </w:pPr>
      <w:r w:rsidRPr="00FD76DE">
        <w:rPr>
          <w:sz w:val="24"/>
          <w:szCs w:val="24"/>
          <w:u w:val="single"/>
        </w:rPr>
        <w:t>EXHIBIT A</w:t>
      </w:r>
    </w:p>
    <w:p w:rsidR="007B6D73" w:rsidRPr="00FD76DE">
      <w:pPr>
        <w:pStyle w:val="Title"/>
        <w:rPr>
          <w:caps/>
          <w:sz w:val="24"/>
          <w:szCs w:val="24"/>
        </w:rPr>
      </w:pPr>
      <w:r>
        <w:rPr>
          <w:caps/>
          <w:noProof/>
          <w:sz w:val="24"/>
          <w:szCs w:val="24"/>
        </w:rPr>
        <w:t>2015</w:t>
      </w:r>
      <w:r w:rsidRPr="00FD76DE">
        <w:rPr>
          <w:caps/>
          <w:sz w:val="24"/>
          <w:szCs w:val="24"/>
        </w:rPr>
        <w:t xml:space="preserve"> Equity Incentive Plan</w:t>
      </w:r>
    </w:p>
    <w:p w:rsidR="007B6D73" w:rsidRPr="00FD76DE">
      <w:pPr>
        <w:spacing w:after="240"/>
        <w:jc w:val="center"/>
        <w:rPr>
          <w:szCs w:val="24"/>
        </w:rPr>
        <w:sectPr>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15" w:other="15"/>
          <w:pgNumType w:start="1"/>
          <w:cols w:space="720"/>
          <w:titlePg/>
          <w:docGrid w:linePitch="354"/>
        </w:sectPr>
      </w:pPr>
    </w:p>
    <w:p w:rsidR="007B6D73" w:rsidRPr="00FD76DE">
      <w:pPr>
        <w:spacing w:after="240"/>
        <w:jc w:val="center"/>
        <w:rPr>
          <w:szCs w:val="24"/>
        </w:rPr>
      </w:pPr>
    </w:p>
    <w:sectPr>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paperSrc w:first="15" w:other="15"/>
      <w:pgNumType w:start="1"/>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0" w:type="dxa"/>
      <w:tblLayout w:type="fixed"/>
      <w:tblCellMar>
        <w:top w:w="0" w:type="dxa"/>
        <w:left w:w="108" w:type="dxa"/>
        <w:bottom w:w="0" w:type="dxa"/>
        <w:right w:w="108" w:type="dxa"/>
      </w:tblCellMar>
      <w:tblLook w:val="0000"/>
    </w:tblPr>
    <w:tblGrid>
      <w:gridCol w:w="3192"/>
      <w:gridCol w:w="3192"/>
      <w:gridCol w:w="3192"/>
    </w:tblGrid>
    <w:tr>
      <w:tblPrEx>
        <w:tblW w:w="0" w:type="auto"/>
        <w:tblInd w:w="0" w:type="dxa"/>
        <w:tblLayout w:type="fixed"/>
        <w:tblCellMar>
          <w:top w:w="0" w:type="dxa"/>
          <w:left w:w="108" w:type="dxa"/>
          <w:bottom w:w="0" w:type="dxa"/>
          <w:right w:w="108" w:type="dxa"/>
        </w:tblCellMar>
        <w:tblLook w:val="0000"/>
      </w:tblPrEx>
      <w:tc>
        <w:tcPr>
          <w:tcW w:w="3192" w:type="dxa"/>
        </w:tcPr>
        <w:p w:rsidR="007B6D73">
          <w:pPr>
            <w:pStyle w:val="Footer"/>
            <w:tabs>
              <w:tab w:val="center" w:pos="4320"/>
              <w:tab w:val="right" w:pos="8640"/>
            </w:tabs>
            <w:rPr>
              <w:rStyle w:val="DefaultParagraphFont"/>
              <w:sz w:val="24"/>
            </w:rPr>
          </w:pPr>
          <w:r w:rsidRPr="003462B1">
            <w:rPr>
              <w:rStyle w:val="DocID"/>
              <w:rFonts w:ascii="Times New Roman" w:hAnsi="Times New Roman" w:cs="Times New Roman"/>
              <w:b w:val="0"/>
              <w:sz w:val="16"/>
            </w:rPr>
            <w:t>DOCS 123188-000001/2289211.1</w:t>
          </w:r>
        </w:p>
      </w:tc>
      <w:tc>
        <w:tcPr>
          <w:tcW w:w="3192" w:type="dxa"/>
        </w:tcPr>
        <w:p w:rsidR="007B6D73">
          <w:pPr>
            <w:pStyle w:val="Footer"/>
            <w:tabs>
              <w:tab w:val="center" w:pos="4320"/>
              <w:tab w:val="right" w:pos="8640"/>
            </w:tabs>
            <w:jc w:val="center"/>
            <w:rPr>
              <w:rStyle w:val="DefaultParagraphFont"/>
              <w:sz w:val="24"/>
              <w:szCs w:val="24"/>
            </w:rPr>
          </w:pPr>
          <w:r>
            <w:rPr>
              <w:rStyle w:val="PageNumber"/>
              <w:sz w:val="24"/>
              <w:szCs w:val="24"/>
            </w:rPr>
            <w:t>-</w:t>
          </w:r>
          <w:r>
            <w:rPr>
              <w:rStyle w:val="PageNumber"/>
              <w:szCs w:val="24"/>
            </w:rPr>
            <w:fldChar w:fldCharType="begin"/>
          </w:r>
          <w:r>
            <w:rPr>
              <w:rStyle w:val="PageNumber"/>
              <w:sz w:val="24"/>
              <w:szCs w:val="24"/>
            </w:rPr>
            <w:instrText xml:space="preserve"> PAGE </w:instrText>
          </w:r>
          <w:r>
            <w:rPr>
              <w:rStyle w:val="PageNumber"/>
              <w:szCs w:val="24"/>
            </w:rPr>
            <w:fldChar w:fldCharType="separate"/>
          </w:r>
          <w:r>
            <w:rPr>
              <w:rStyle w:val="PageNumber"/>
              <w:noProof/>
              <w:sz w:val="24"/>
              <w:szCs w:val="24"/>
            </w:rPr>
            <w:t>1</w:t>
          </w:r>
          <w:r>
            <w:rPr>
              <w:rStyle w:val="PageNumber"/>
              <w:szCs w:val="24"/>
            </w:rPr>
            <w:fldChar w:fldCharType="end"/>
          </w:r>
          <w:r>
            <w:rPr>
              <w:rStyle w:val="PageNumber"/>
              <w:sz w:val="24"/>
              <w:szCs w:val="24"/>
            </w:rPr>
            <w:t>-</w:t>
          </w:r>
        </w:p>
      </w:tc>
      <w:tc>
        <w:tcPr>
          <w:tcW w:w="3192" w:type="dxa"/>
        </w:tcPr>
        <w:p w:rsidR="007B6D73">
          <w:pPr>
            <w:pStyle w:val="Footer"/>
            <w:tabs>
              <w:tab w:val="center" w:pos="4320"/>
              <w:tab w:val="right" w:pos="8640"/>
            </w:tabs>
            <w:jc w:val="right"/>
            <w:rPr>
              <w:rStyle w:val="DefaultParagraphFont"/>
              <w:sz w:val="24"/>
            </w:rPr>
          </w:pPr>
        </w:p>
      </w:tc>
    </w:tr>
  </w:tbl>
  <w:p w:rsidR="007B6D7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6D73">
    <w:pPr>
      <w:pStyle w:val="Footer"/>
    </w:pPr>
    <w:r w:rsidRPr="003462B1">
      <w:rPr>
        <w:rStyle w:val="DocID"/>
      </w:rPr>
      <w:t>DOCS 123188-000001/2289211.1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6D73">
    <w:pPr>
      <w:pStyle w:val="Footer"/>
      <w:rPr>
        <w:rStyle w:val="DocID"/>
        <w:sz w:val="24"/>
      </w:rPr>
    </w:pPr>
    <w:r w:rsidRPr="003462B1">
      <w:rPr>
        <w:rStyle w:val="DocID"/>
      </w:rPr>
      <w:t>DOCS 123188-000001/2289211.1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6D73">
    <w:pPr>
      <w:pStyle w:val="Footer"/>
    </w:pPr>
    <w:r w:rsidRPr="003462B1">
      <w:rPr>
        <w:rStyle w:val="DocID"/>
      </w:rPr>
      <w:t>DOCS 123188-000001/2289211.1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6D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B6D7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6D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B6D73">
    <w:pPr>
      <w:pStyle w:val="Footer"/>
    </w:pPr>
    <w:r w:rsidRPr="003462B1">
      <w:rPr>
        <w:rStyle w:val="DocID"/>
      </w:rPr>
      <w:t>DOCS 123188-000001/2289211.1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6D73">
    <w:pPr>
      <w:pStyle w:val="Footer"/>
      <w:tabs>
        <w:tab w:val="clear" w:pos="4320"/>
        <w:tab w:val="center" w:pos="4680"/>
        <w:tab w:val="clear" w:pos="8640"/>
      </w:tabs>
    </w:pPr>
    <w:r>
      <w:tab/>
    </w:r>
  </w:p>
  <w:p w:rsidR="007B6D73">
    <w:pPr>
      <w:pStyle w:val="Footer"/>
    </w:pPr>
    <w:r w:rsidRPr="003462B1">
      <w:rPr>
        <w:rStyle w:val="DocID"/>
      </w:rPr>
      <w:t>DOCS 123188-000001/2289211.1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6D7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6D73">
    <w:pPr>
      <w:pStyle w:val="Footer"/>
    </w:pPr>
    <w:r w:rsidRPr="003462B1">
      <w:rPr>
        <w:rStyle w:val="DocID"/>
      </w:rPr>
      <w:t>DOCS 123188-000001/2289211.1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6D73">
    <w:pPr>
      <w:pStyle w:val="Footer"/>
      <w:rPr>
        <w:rStyle w:val="DocID"/>
        <w:sz w:val="24"/>
      </w:rPr>
    </w:pPr>
    <w:r w:rsidRPr="003462B1">
      <w:rPr>
        <w:rStyle w:val="DocID"/>
      </w:rPr>
      <w:t>DOCS 123188-000001/2289211.1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6D7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6D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6D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6D7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6D7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6D7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6D7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6D7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6D7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6D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0"/>
      <w:numFmt w:val="decimal"/>
      <w:lvlText w:val="%9"/>
      <w:legacy w:legacy="1" w:legacySpace="0" w:legacyIndent="0"/>
      <w:lvlJc w:val="left"/>
      <w:rPr>
        <w:rFonts w:ascii="Times New Roman" w:hAnsi="Times New Roman" w:hint="default"/>
      </w:rPr>
    </w:lvl>
  </w:abstractNum>
  <w:abstractNum w:abstractNumId="1">
    <w:nsid w:val="509E11FF"/>
    <w:multiLevelType w:val="multilevel"/>
    <w:tmpl w:val="BE88DA34"/>
    <w:lvl w:ilvl="0">
      <w:start w:val="1"/>
      <w:numFmt w:val="upperRoman"/>
      <w:pStyle w:val="Heading1"/>
      <w:lvlText w:val="%1."/>
      <w:lvlJc w:val="left"/>
      <w:pPr>
        <w:tabs>
          <w:tab w:val="num" w:pos="720"/>
        </w:tabs>
        <w:ind w:left="0" w:firstLine="0"/>
      </w:pPr>
      <w:rPr>
        <w:u w:val="none"/>
      </w:rPr>
    </w:lvl>
    <w:lvl w:ilvl="1">
      <w:start w:val="1"/>
      <w:numFmt w:val="upperLetter"/>
      <w:pStyle w:val="Heading2"/>
      <w:lvlText w:val="%2."/>
      <w:lvlJc w:val="left"/>
      <w:pPr>
        <w:tabs>
          <w:tab w:val="num" w:pos="1080"/>
        </w:tabs>
        <w:ind w:left="0" w:firstLine="720"/>
      </w:pPr>
      <w:rPr>
        <w:u w:val="none"/>
      </w:rPr>
    </w:lvl>
    <w:lvl w:ilvl="2">
      <w:start w:val="1"/>
      <w:numFmt w:val="decimal"/>
      <w:pStyle w:val="Heading3"/>
      <w:lvlText w:val="%3."/>
      <w:lvlJc w:val="left"/>
      <w:pPr>
        <w:tabs>
          <w:tab w:val="num" w:pos="1800"/>
        </w:tabs>
        <w:ind w:left="0" w:firstLine="1440"/>
      </w:pPr>
      <w:rPr>
        <w:u w:val="none"/>
      </w:rPr>
    </w:lvl>
    <w:lvl w:ilvl="3">
      <w:start w:val="1"/>
      <w:numFmt w:val="lowerLetter"/>
      <w:pStyle w:val="Heading4"/>
      <w:lvlText w:val="%4."/>
      <w:lvlJc w:val="left"/>
      <w:pPr>
        <w:tabs>
          <w:tab w:val="num" w:pos="2520"/>
        </w:tabs>
        <w:ind w:left="0" w:firstLine="2160"/>
      </w:pPr>
      <w:rPr>
        <w:u w:val="none"/>
      </w:rPr>
    </w:lvl>
    <w:lvl w:ilvl="4">
      <w:start w:val="1"/>
      <w:numFmt w:val="lowerRoman"/>
      <w:pStyle w:val="Heading5"/>
      <w:lvlText w:val="%5."/>
      <w:lvlJc w:val="left"/>
      <w:pPr>
        <w:tabs>
          <w:tab w:val="num" w:pos="3600"/>
        </w:tabs>
        <w:ind w:left="0" w:firstLine="2880"/>
      </w:pPr>
      <w:rPr>
        <w:u w:val="none"/>
      </w:rPr>
    </w:lvl>
    <w:lvl w:ilvl="5">
      <w:start w:val="1"/>
      <w:numFmt w:val="lowerLetter"/>
      <w:pStyle w:val="Heading6"/>
      <w:suff w:val="nothing"/>
      <w:lvlText w:val="(%6)"/>
      <w:lvlJc w:val="left"/>
      <w:pPr>
        <w:ind w:left="0" w:firstLine="3600"/>
      </w:pPr>
    </w:lvl>
    <w:lvl w:ilvl="6">
      <w:start w:val="1"/>
      <w:numFmt w:val="decimal"/>
      <w:pStyle w:val="Heading7"/>
      <w:suff w:val="nothing"/>
      <w:lvlText w:val="(%7)"/>
      <w:lvlJc w:val="left"/>
      <w:pPr>
        <w:ind w:left="0" w:firstLine="4320"/>
      </w:pPr>
    </w:lvl>
    <w:lvl w:ilvl="7">
      <w:start w:val="1"/>
      <w:numFmt w:val="lowerLetter"/>
      <w:pStyle w:val="Heading8"/>
      <w:suff w:val="nothing"/>
      <w:lvlText w:val="%8)"/>
      <w:lvlJc w:val="left"/>
      <w:pPr>
        <w:ind w:left="0" w:firstLine="5040"/>
      </w:pPr>
    </w:lvl>
    <w:lvl w:ilvl="8">
      <w:start w:val="1"/>
      <w:numFmt w:val="lowerRoman"/>
      <w:pStyle w:val="Heading9"/>
      <w:lvlText w:val="%9)"/>
      <w:lvlJc w:val="left"/>
      <w:pPr>
        <w:tabs>
          <w:tab w:val="num" w:pos="6480"/>
        </w:tabs>
        <w:ind w:left="0" w:firstLine="5760"/>
      </w:pPr>
      <w:rPr>
        <w:u w:val="none"/>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doNotEmbedSmartTag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numPr>
        <w:ilvl w:val="1"/>
        <w:numId w:val="1"/>
      </w:numPr>
      <w:tabs>
        <w:tab w:val="clear" w:pos="1080"/>
        <w:tab w:val="left" w:pos="1440"/>
      </w:tabs>
      <w:outlineLvl w:val="1"/>
    </w:pPr>
  </w:style>
  <w:style w:type="paragraph" w:styleId="Heading3">
    <w:name w:val="heading 3"/>
    <w:basedOn w:val="Normal"/>
    <w:next w:val="Normal"/>
    <w:qFormat/>
    <w:pPr>
      <w:numPr>
        <w:ilvl w:val="2"/>
        <w:numId w:val="1"/>
      </w:numPr>
      <w:tabs>
        <w:tab w:val="left" w:pos="2160"/>
      </w:tabs>
      <w:outlineLvl w:val="2"/>
    </w:pPr>
  </w:style>
  <w:style w:type="paragraph" w:styleId="Heading4">
    <w:name w:val="heading 4"/>
    <w:basedOn w:val="Normal"/>
    <w:next w:val="Normal"/>
    <w:qFormat/>
    <w:pPr>
      <w:numPr>
        <w:ilvl w:val="3"/>
        <w:numId w:val="1"/>
      </w:numPr>
      <w:tabs>
        <w:tab w:val="clear" w:pos="2520"/>
        <w:tab w:val="left" w:pos="2880"/>
      </w:tabs>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keepNext/>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paragraph" w:styleId="Heading9">
    <w:name w:val="heading 9"/>
    <w:basedOn w:val="Normal"/>
    <w:next w:val="Normal"/>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widowControl w:val="0"/>
      <w:tabs>
        <w:tab w:val="left" w:pos="720"/>
        <w:tab w:val="right" w:leader="dot" w:pos="9360"/>
      </w:tabs>
      <w:spacing w:after="240" w:line="240" w:lineRule="exact"/>
      <w:ind w:left="720" w:right="720" w:hanging="720"/>
    </w:pPr>
  </w:style>
  <w:style w:type="paragraph" w:styleId="TOC2">
    <w:name w:val="toc 2"/>
    <w:basedOn w:val="Normal"/>
    <w:next w:val="Normal"/>
    <w:autoRedefine/>
    <w:semiHidden/>
    <w:pPr>
      <w:widowControl w:val="0"/>
      <w:tabs>
        <w:tab w:val="left" w:pos="1440"/>
        <w:tab w:val="right" w:leader="dot" w:pos="9360"/>
      </w:tabs>
      <w:spacing w:after="240" w:line="240" w:lineRule="exact"/>
      <w:ind w:left="1440" w:right="720" w:hanging="720"/>
    </w:pPr>
  </w:style>
  <w:style w:type="paragraph" w:styleId="TOC3">
    <w:name w:val="toc 3"/>
    <w:basedOn w:val="Normal"/>
    <w:next w:val="Normal"/>
    <w:autoRedefine/>
    <w:semiHidden/>
    <w:pPr>
      <w:widowControl w:val="0"/>
      <w:tabs>
        <w:tab w:val="left" w:pos="2160"/>
        <w:tab w:val="right" w:leader="dot" w:pos="9360"/>
      </w:tabs>
      <w:spacing w:after="240" w:line="240" w:lineRule="exact"/>
      <w:ind w:left="2160" w:right="720" w:hanging="720"/>
    </w:pPr>
  </w:style>
  <w:style w:type="paragraph" w:styleId="TOC4">
    <w:name w:val="toc 4"/>
    <w:basedOn w:val="Normal"/>
    <w:next w:val="Normal"/>
    <w:autoRedefine/>
    <w:semiHidden/>
    <w:pPr>
      <w:widowControl w:val="0"/>
      <w:tabs>
        <w:tab w:val="left" w:pos="2880"/>
        <w:tab w:val="right" w:leader="dot" w:pos="9360"/>
      </w:tabs>
      <w:spacing w:after="240" w:line="240" w:lineRule="exact"/>
      <w:ind w:left="2880" w:right="720" w:hanging="720"/>
    </w:pPr>
  </w:style>
  <w:style w:type="paragraph" w:styleId="TOC5">
    <w:name w:val="toc 5"/>
    <w:basedOn w:val="Normal"/>
    <w:next w:val="Normal"/>
    <w:autoRedefine/>
    <w:semiHidden/>
    <w:pPr>
      <w:widowControl w:val="0"/>
      <w:tabs>
        <w:tab w:val="left" w:pos="3600"/>
        <w:tab w:val="right" w:leader="dot" w:pos="9360"/>
      </w:tabs>
      <w:spacing w:after="240" w:line="240" w:lineRule="exact"/>
      <w:ind w:left="3600" w:right="720" w:hanging="720"/>
    </w:pPr>
  </w:style>
  <w:style w:type="paragraph" w:styleId="TOC6">
    <w:name w:val="toc 6"/>
    <w:basedOn w:val="Normal"/>
    <w:next w:val="Normal"/>
    <w:autoRedefine/>
    <w:semiHidden/>
    <w:pPr>
      <w:widowControl w:val="0"/>
      <w:tabs>
        <w:tab w:val="left" w:pos="4320"/>
        <w:tab w:val="right" w:leader="dot" w:pos="9360"/>
      </w:tabs>
      <w:spacing w:after="240" w:line="240" w:lineRule="exact"/>
      <w:ind w:left="4320" w:right="720" w:hanging="720"/>
    </w:pPr>
  </w:style>
  <w:style w:type="paragraph" w:styleId="TOC7">
    <w:name w:val="toc 7"/>
    <w:basedOn w:val="Normal"/>
    <w:next w:val="Normal"/>
    <w:autoRedefine/>
    <w:semiHidden/>
    <w:pPr>
      <w:widowControl w:val="0"/>
      <w:tabs>
        <w:tab w:val="left" w:pos="5040"/>
        <w:tab w:val="right" w:leader="dot" w:pos="9360"/>
      </w:tabs>
      <w:spacing w:after="240" w:line="240" w:lineRule="exact"/>
      <w:ind w:left="5040" w:right="720" w:hanging="720"/>
    </w:pPr>
  </w:style>
  <w:style w:type="paragraph" w:styleId="TOC8">
    <w:name w:val="toc 8"/>
    <w:basedOn w:val="Normal"/>
    <w:next w:val="Normal"/>
    <w:autoRedefine/>
    <w:semiHidden/>
    <w:pPr>
      <w:widowControl w:val="0"/>
      <w:tabs>
        <w:tab w:val="left" w:pos="5760"/>
        <w:tab w:val="right" w:leader="dot" w:pos="9360"/>
      </w:tabs>
      <w:spacing w:after="240" w:line="240" w:lineRule="exact"/>
      <w:ind w:left="5760" w:right="720" w:hanging="720"/>
    </w:pPr>
  </w:style>
  <w:style w:type="paragraph" w:styleId="TOC9">
    <w:name w:val="toc 9"/>
    <w:basedOn w:val="Normal"/>
    <w:next w:val="Normal"/>
    <w:autoRedefine/>
    <w:semiHidden/>
    <w:pPr>
      <w:widowControl w:val="0"/>
      <w:tabs>
        <w:tab w:val="left" w:pos="6480"/>
        <w:tab w:val="right" w:leader="dot" w:pos="9360"/>
      </w:tabs>
      <w:spacing w:after="240" w:line="240" w:lineRule="exact"/>
      <w:ind w:left="6480" w:right="720" w:hanging="720"/>
    </w:pPr>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aliases w:val="W97,bt"/>
    <w:basedOn w:val="Normal"/>
    <w:pPr>
      <w:spacing w:after="240"/>
      <w:ind w:firstLine="720"/>
    </w:pPr>
    <w:rPr>
      <w:sz w:val="26"/>
    </w:rPr>
  </w:style>
  <w:style w:type="paragraph" w:styleId="Title">
    <w:name w:val="Title"/>
    <w:aliases w:val="t,ti"/>
    <w:basedOn w:val="Normal"/>
    <w:qFormat/>
    <w:pPr>
      <w:keepNext/>
      <w:keepLines/>
      <w:spacing w:after="240"/>
      <w:jc w:val="center"/>
    </w:pPr>
    <w:rPr>
      <w:b/>
      <w:sz w:val="28"/>
    </w:rPr>
  </w:style>
  <w:style w:type="character" w:styleId="PageNumber">
    <w:name w:val="page number"/>
    <w:basedOn w:val="DefaultParagraphFont"/>
  </w:style>
  <w:style w:type="character" w:customStyle="1" w:styleId="DocID">
    <w:name w:val="DocID"/>
    <w:rsid w:val="00F47D75"/>
    <w:rPr>
      <w:rFonts w:ascii="Times New Roman" w:hAnsi="Times New Roman" w:cs="Times New Roman"/>
      <w:b w:val="0"/>
      <w:sz w:val="16"/>
    </w:rPr>
  </w:style>
  <w:style w:type="paragraph" w:styleId="BodyText2">
    <w:name w:val="Body Text 2"/>
    <w:basedOn w:val="Normal"/>
    <w:pPr>
      <w:spacing w:after="120" w:line="480" w:lineRule="auto"/>
    </w:pPr>
    <w:rPr>
      <w:sz w:val="26"/>
    </w:rPr>
  </w:style>
  <w:style w:type="paragraph" w:styleId="BodyTextIndent2">
    <w:name w:val="Body Text Indent 2"/>
    <w:basedOn w:val="Normal"/>
    <w:pPr>
      <w:spacing w:after="120" w:line="480" w:lineRule="auto"/>
      <w:ind w:left="360"/>
    </w:pPr>
  </w:style>
  <w:style w:type="paragraph" w:customStyle="1" w:styleId="SectionBreakAnchor">
    <w:name w:val="Section Break Anchor"/>
    <w:basedOn w:val="Normal"/>
    <w:next w:val="Normal"/>
    <w:pPr>
      <w:widowControl w:val="0"/>
      <w:tabs>
        <w:tab w:val="left" w:pos="570"/>
        <w:tab w:val="left" w:pos="1440"/>
        <w:tab w:val="left" w:pos="1980"/>
        <w:tab w:val="left" w:pos="2700"/>
        <w:tab w:val="left" w:pos="3450"/>
        <w:tab w:val="left" w:pos="4170"/>
        <w:tab w:val="left" w:pos="4890"/>
        <w:tab w:val="left" w:pos="5610"/>
      </w:tabs>
      <w:suppressAutoHyphens/>
    </w:pPr>
  </w:style>
  <w:style w:type="character" w:customStyle="1" w:styleId="Bold">
    <w:name w:val="Bold"/>
    <w:rPr>
      <w:b/>
    </w:rPr>
  </w:style>
  <w:style w:type="paragraph" w:styleId="BlockText">
    <w:name w:val="Block Text"/>
    <w:basedOn w:val="Normal"/>
    <w:pPr>
      <w:spacing w:after="480"/>
      <w:ind w:left="720" w:right="720" w:firstLine="720"/>
      <w:jc w:val="both"/>
    </w:p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basedOn w:val="Normal"/>
    <w:next w:val="BodyText"/>
    <w:pPr>
      <w:spacing w:after="480"/>
      <w:jc w:val="center"/>
    </w:pPr>
    <w:rPr>
      <w:b/>
      <w:caps/>
      <w:szCs w:val="24"/>
    </w:rPr>
  </w:style>
  <w:style w:type="paragraph" w:styleId="BodyTextIndent">
    <w:name w:val="Body Text Indent"/>
    <w:aliases w:val="bti"/>
    <w:basedOn w:val="Normal"/>
    <w:pPr>
      <w:spacing w:after="120"/>
      <w:ind w:left="360"/>
    </w:pPr>
  </w:style>
  <w:style w:type="character" w:styleId="Strong">
    <w:name w:val="Strong"/>
    <w:aliases w:val="st"/>
    <w:qFormat/>
    <w:rPr>
      <w:b/>
    </w:rPr>
  </w:style>
  <w:style w:type="paragraph" w:customStyle="1" w:styleId="SectionBreakAnchor2">
    <w:name w:val="Section Break Anchor2"/>
    <w:basedOn w:val="Normal"/>
    <w:next w:val="BodyText"/>
    <w:rPr>
      <w:sz w:val="2"/>
    </w:rPr>
  </w:style>
  <w:style w:type="paragraph" w:customStyle="1" w:styleId="vlg-double">
    <w:name w:val="vlg-double"/>
    <w:basedOn w:val="Normal"/>
    <w:pPr>
      <w:spacing w:line="480" w:lineRule="atLeast"/>
      <w:ind w:firstLine="720"/>
    </w:pPr>
  </w:style>
  <w:style w:type="paragraph" w:styleId="Signature">
    <w:name w:val="Signature"/>
    <w:basedOn w:val="Normal"/>
    <w:next w:val="Normal"/>
    <w:pPr>
      <w:keepLines/>
      <w:spacing w:after="240"/>
      <w:ind w:left="4320"/>
    </w:pPr>
    <w:rPr>
      <w:color w:val="000080"/>
    </w:rPr>
  </w:style>
  <w:style w:type="paragraph" w:styleId="EnvelopeReturn">
    <w:name w:val="envelope return"/>
    <w:basedOn w:val="Normal"/>
    <w:rPr>
      <w:sz w:val="26"/>
    </w:rPr>
  </w:style>
  <w:style w:type="paragraph" w:customStyle="1" w:styleId="DirectorSignatureBlocks">
    <w:name w:val="Director Signature Blocks"/>
    <w:basedOn w:val="BodyText2"/>
    <w:qFormat/>
    <w:pPr>
      <w:spacing w:after="0" w:line="240" w:lineRule="auto"/>
      <w:ind w:left="43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5.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6.xml" /><Relationship Id="rId15" Type="http://schemas.openxmlformats.org/officeDocument/2006/relationships/footer" Target="footer7.xml" /><Relationship Id="rId16" Type="http://schemas.openxmlformats.org/officeDocument/2006/relationships/header" Target="header6.xml" /><Relationship Id="rId17" Type="http://schemas.openxmlformats.org/officeDocument/2006/relationships/footer" Target="footer8.xm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webSettings" Target="webSettings.xml" /><Relationship Id="rId20" Type="http://schemas.openxmlformats.org/officeDocument/2006/relationships/footer" Target="footer9.xml" /><Relationship Id="rId21" Type="http://schemas.openxmlformats.org/officeDocument/2006/relationships/footer" Target="footer10.xml" /><Relationship Id="rId22" Type="http://schemas.openxmlformats.org/officeDocument/2006/relationships/header" Target="header9.xml" /><Relationship Id="rId23" Type="http://schemas.openxmlformats.org/officeDocument/2006/relationships/footer" Target="footer1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RESOLUTIONS OF THE BOARD</vt:lpstr>
    </vt:vector>
  </TitlesOfParts>
  <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cp:lastModifiedBy>
  <cp:revision>1</cp:revision>
  <dcterms:created xsi:type="dcterms:W3CDTF">2015-07-30T14:29:17Z</dcterms:created>
  <dcterms:modified xsi:type="dcterms:W3CDTF">2015-07-30T14:29:17Z</dcterms:modified>
</cp:coreProperties>
</file>