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numPr>
          <w:ilvl w:val="0"/>
          <w:numId w:val="1"/>
        </w:numPr>
      </w:pPr>
      <w:r>
        <w:rPr/>
        <w:t>Introduction/Headline</w:t>
      </w:r>
    </w:p>
    <w:p>
      <w:pPr>
        <w:pStyle w:val="style0"/>
        <w:numPr>
          <w:ilvl w:val="1"/>
          <w:numId w:val="1"/>
        </w:numPr>
      </w:pPr>
      <w:r>
        <w:rPr/>
        <w:t>From companies with modest data centers, say 1000 servers, on up to companies where data center OpEx is a huge drain on their margins, the effect on corporate valuation by even small increases in profit margins cannot be over estimated.  For data centers, the largest single component of operating expenses is tied closely to the power consumed by the IT equipment housed in the facility.  For a few years now, many companies have been working hard to lower their data center OpEx by making their facility and their HVAC (Heating, Ventilation and Air Conditioning) systems more efficient, thereby lowering their overall power bill.  Lowering the power consumed by the IT equipment itself has usually been overlooked, usually because facilities and finance teams have been far removed from IT teams, so communication and team work was awkward and often inconvenient.  Lately though, the industry has started to think more and more about somehow lowering the footprint of the IT equipment itself, where in fact OpEx reductions by as much as 50% are possible.  Successful projects in this category usually require finance and IT teams working together, and managed from an authority high enough to get results from both.</w:t>
      </w:r>
    </w:p>
    <w:p>
      <w:pPr>
        <w:pStyle w:val="style0"/>
        <w:numPr>
          <w:ilvl w:val="0"/>
          <w:numId w:val="1"/>
        </w:numPr>
      </w:pPr>
      <w:r>
        <w:rPr/>
        <w:t>Description of problem/pain</w:t>
      </w:r>
    </w:p>
    <w:p>
      <w:pPr>
        <w:pStyle w:val="style0"/>
        <w:numPr>
          <w:ilvl w:val="1"/>
          <w:numId w:val="1"/>
        </w:numPr>
      </w:pPr>
      <w:r>
        <w:rPr/>
        <w:t>The ever increasing compute capacity required by companies has caused an equally increasing bill from the electric company.  The main culprit is the IT equipment itself, but managing corporate OpEx or trimming the power consumption of the data center can often be very low on the todo list of an IT manager.  Now, the explosion of cloud applications and desire by companies to employ big data analytics to achieve a variety of business goals is putting more pressure on data centers to provide even more compute capacity.  But the operating expenses involved in this growth are themselves causing corporate problems, and the physical power consumption is sometimes also a problem.  Companies are finding themselves squeezed between these two milestones and needing relief.</w:t>
      </w:r>
    </w:p>
    <w:p>
      <w:pPr>
        <w:pStyle w:val="style0"/>
        <w:numPr>
          <w:ilvl w:val="0"/>
          <w:numId w:val="1"/>
        </w:numPr>
      </w:pPr>
      <w:r>
        <w:rPr/>
        <w:t>Description of product and benefit</w:t>
      </w:r>
    </w:p>
    <w:p>
      <w:pPr>
        <w:pStyle w:val="style0"/>
        <w:numPr>
          <w:ilvl w:val="1"/>
          <w:numId w:val="1"/>
        </w:numPr>
      </w:pPr>
      <w:r>
        <w:rPr/>
        <w:t>Servers that consume less power while providing equivalent capacity.</w:t>
      </w:r>
    </w:p>
    <w:p>
      <w:pPr>
        <w:pStyle w:val="style0"/>
        <w:numPr>
          <w:ilvl w:val="0"/>
          <w:numId w:val="1"/>
        </w:numPr>
      </w:pPr>
      <w:r>
        <w:rPr/>
        <w:t>Table/chart showing electricity savings</w:t>
      </w:r>
    </w:p>
    <w:tbl>
      <w:tblPr>
        <w:tblW w:type="dxa" w:w="9015"/>
        <w:jc w:val="left"/>
        <w:tblInd w:type="dxa" w:w="563"/>
        <w:tblBorders>
          <w:top w:color="00AE00" w:space="0" w:sz="2" w:val="single"/>
          <w:left w:color="00AE00" w:space="0" w:sz="2" w:val="single"/>
          <w:bottom w:color="00AE00" w:space="0" w:sz="2" w:val="single"/>
          <w:right w:color="00AE00" w:space="0" w:sz="2" w:val="single"/>
        </w:tblBorders>
      </w:tblPr>
      <w:tblGrid>
        <w:gridCol w:w="2160"/>
        <w:gridCol w:w="1935"/>
        <w:gridCol w:w="2010"/>
        <w:gridCol w:w="2910"/>
      </w:tblGrid>
      <w:tr>
        <w:trPr>
          <w:cantSplit w:val="false"/>
        </w:trPr>
        <w:tc>
          <w:tcPr>
            <w:tcW w:type="dxa" w:w="2160"/>
            <w:tcBorders>
              <w:top w:color="00AE00" w:space="0" w:sz="2" w:val="single"/>
              <w:left w:color="00AE00" w:space="0" w:sz="2" w:val="single"/>
              <w:bottom w:color="00AE00" w:space="0" w:sz="2" w:val="single"/>
              <w:right w:color="00AE00" w:space="0" w:sz="2" w:val="single"/>
            </w:tcBorders>
            <w:shd w:fill="0057E6"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28"/>
                <w:sz w:val="28"/>
                <w:szCs w:val="28"/>
                <w:u w:val="none"/>
                <w:vertAlign w:val="baseline"/>
              </w:rPr>
              <w:t>Servers/yr</w:t>
            </w:r>
          </w:p>
        </w:tc>
        <w:tc>
          <w:tcPr>
            <w:tcW w:type="dxa" w:w="1935"/>
            <w:tcBorders>
              <w:top w:color="00AE00" w:space="0" w:sz="2" w:val="single"/>
              <w:left w:color="00AE00" w:space="0" w:sz="2" w:val="single"/>
              <w:bottom w:color="00AE00" w:space="0" w:sz="2" w:val="single"/>
              <w:right w:color="00AE00" w:space="0" w:sz="2" w:val="single"/>
            </w:tcBorders>
            <w:shd w:fill="0057E6"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28"/>
                <w:sz w:val="28"/>
                <w:szCs w:val="28"/>
                <w:u w:val="none"/>
                <w:vertAlign w:val="baseline"/>
              </w:rPr>
              <w:t>100</w:t>
            </w:r>
          </w:p>
        </w:tc>
        <w:tc>
          <w:tcPr>
            <w:tcW w:type="dxa" w:w="2010"/>
            <w:tcBorders>
              <w:top w:color="00AE00" w:space="0" w:sz="2" w:val="single"/>
              <w:left w:color="00AE00" w:space="0" w:sz="2" w:val="single"/>
              <w:bottom w:color="00AE00" w:space="0" w:sz="2" w:val="single"/>
              <w:right w:color="00AE00" w:space="0" w:sz="2" w:val="single"/>
            </w:tcBorders>
            <w:shd w:fill="0057E6"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28"/>
                <w:sz w:val="28"/>
                <w:szCs w:val="28"/>
                <w:u w:val="none"/>
                <w:vertAlign w:val="baseline"/>
              </w:rPr>
              <w:t>1,000</w:t>
            </w:r>
          </w:p>
        </w:tc>
        <w:tc>
          <w:tcPr>
            <w:tcW w:type="dxa" w:w="2910"/>
            <w:tcBorders>
              <w:top w:color="00AE00" w:space="0" w:sz="2" w:val="single"/>
              <w:left w:color="00AE00" w:space="0" w:sz="2" w:val="single"/>
              <w:bottom w:color="00AE00" w:space="0" w:sz="2" w:val="single"/>
              <w:right w:color="00AE00" w:space="0" w:sz="2" w:val="single"/>
            </w:tcBorders>
            <w:shd w:fill="0057E6"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28"/>
                <w:sz w:val="28"/>
                <w:szCs w:val="28"/>
                <w:u w:val="none"/>
                <w:vertAlign w:val="baseline"/>
              </w:rPr>
              <w:t>50,000</w:t>
            </w:r>
          </w:p>
        </w:tc>
      </w:tr>
      <w:tr>
        <w:trPr>
          <w:cantSplit w:val="false"/>
        </w:trPr>
        <w:tc>
          <w:tcPr>
            <w:tcW w:type="dxa" w:w="216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28"/>
                <w:sz w:val="28"/>
                <w:szCs w:val="28"/>
                <w:u w:val="none"/>
                <w:vertAlign w:val="baseline"/>
              </w:rPr>
              <w:t>Conventional</w:t>
            </w:r>
          </w:p>
        </w:tc>
        <w:tc>
          <w:tcPr>
            <w:tcW w:type="dxa" w:w="1935"/>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32"/>
                <w:sz w:val="32"/>
                <w:szCs w:val="32"/>
                <w:u w:val="none"/>
                <w:vertAlign w:val="baseline"/>
              </w:rPr>
              <w:t>$42,500</w:t>
            </w:r>
          </w:p>
        </w:tc>
        <w:tc>
          <w:tcPr>
            <w:tcW w:type="dxa" w:w="201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32"/>
                <w:sz w:val="32"/>
                <w:szCs w:val="32"/>
                <w:u w:val="none"/>
                <w:vertAlign w:val="baseline"/>
              </w:rPr>
              <w:t>$425,000</w:t>
            </w:r>
          </w:p>
        </w:tc>
        <w:tc>
          <w:tcPr>
            <w:tcW w:type="dxa" w:w="291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32"/>
                <w:sz w:val="32"/>
                <w:szCs w:val="32"/>
                <w:u w:val="none"/>
                <w:vertAlign w:val="baseline"/>
              </w:rPr>
              <w:t>$21,250,000</w:t>
            </w:r>
          </w:p>
        </w:tc>
      </w:tr>
      <w:tr>
        <w:trPr>
          <w:cantSplit w:val="false"/>
        </w:trPr>
        <w:tc>
          <w:tcPr>
            <w:tcW w:type="dxa" w:w="216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Medium" w:cs="HelveticaNeue-Medium" w:eastAsia="HelveticaNeue-Medium" w:hAnsi="HelveticaNeue-Medium"/>
                <w:outline w:val="false"/>
                <w:shadow/>
                <w:color w:val="558E28"/>
                <w:spacing w:val="0"/>
                <w:position w:val="0"/>
                <w:sz w:val="36"/>
                <w:sz w:val="36"/>
                <w:szCs w:val="36"/>
                <w:u w:val="none"/>
                <w:vertAlign w:val="baseline"/>
              </w:rPr>
              <w:t>Lopoco</w:t>
            </w:r>
          </w:p>
        </w:tc>
        <w:tc>
          <w:tcPr>
            <w:tcW w:type="dxa" w:w="1935"/>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32"/>
                <w:sz w:val="32"/>
                <w:szCs w:val="32"/>
                <w:u w:val="none"/>
                <w:vertAlign w:val="baseline"/>
              </w:rPr>
              <w:t>$10,500</w:t>
            </w:r>
          </w:p>
        </w:tc>
        <w:tc>
          <w:tcPr>
            <w:tcW w:type="dxa" w:w="201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32"/>
                <w:sz w:val="32"/>
                <w:szCs w:val="32"/>
                <w:u w:val="none"/>
                <w:vertAlign w:val="baseline"/>
              </w:rPr>
              <w:t>$105,000</w:t>
            </w:r>
          </w:p>
        </w:tc>
        <w:tc>
          <w:tcPr>
            <w:tcW w:type="dxa" w:w="291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32"/>
                <w:sz w:val="32"/>
                <w:szCs w:val="32"/>
                <w:u w:val="none"/>
                <w:vertAlign w:val="baseline"/>
              </w:rPr>
              <w:t>$5,250,000</w:t>
            </w:r>
          </w:p>
        </w:tc>
      </w:tr>
      <w:tr>
        <w:trPr>
          <w:cantSplit w:val="false"/>
        </w:trPr>
        <w:tc>
          <w:tcPr>
            <w:tcW w:type="dxa" w:w="216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right"/>
            </w:pPr>
            <w:r>
              <w:rPr>
                <w:rFonts w:ascii="HelveticaNeue-Medium" w:cs="HelveticaNeue-Medium" w:eastAsia="HelveticaNeue-Medium" w:hAnsi="HelveticaNeue-Medium"/>
                <w:outline w:val="false"/>
                <w:shadow/>
                <w:color w:val="FFFFFF"/>
                <w:spacing w:val="0"/>
                <w:position w:val="0"/>
                <w:sz w:val="28"/>
                <w:sz w:val="28"/>
                <w:szCs w:val="28"/>
                <w:u w:val="none"/>
                <w:vertAlign w:val="baseline"/>
              </w:rPr>
              <w:t>Savings</w:t>
            </w:r>
          </w:p>
        </w:tc>
        <w:tc>
          <w:tcPr>
            <w:tcW w:type="dxa" w:w="1935"/>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 w:cs="HelveticaNeue" w:eastAsia="HelveticaNeue" w:hAnsi="HelveticaNeue"/>
                <w:b/>
                <w:bCs/>
                <w:outline w:val="false"/>
                <w:shadow/>
                <w:color w:val="FFFFFF"/>
                <w:spacing w:val="0"/>
                <w:position w:val="0"/>
                <w:sz w:val="32"/>
                <w:sz w:val="32"/>
                <w:szCs w:val="32"/>
                <w:u w:val="none"/>
                <w:vertAlign w:val="baseline"/>
              </w:rPr>
              <w:t>$32,000</w:t>
            </w:r>
          </w:p>
        </w:tc>
        <w:tc>
          <w:tcPr>
            <w:tcW w:type="dxa" w:w="201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 w:cs="HelveticaNeue" w:eastAsia="HelveticaNeue" w:hAnsi="HelveticaNeue"/>
                <w:b/>
                <w:bCs/>
                <w:outline w:val="false"/>
                <w:shadow/>
                <w:color w:val="FFFFFF"/>
                <w:spacing w:val="0"/>
                <w:position w:val="0"/>
                <w:sz w:val="32"/>
                <w:sz w:val="32"/>
                <w:szCs w:val="32"/>
                <w:u w:val="none"/>
                <w:vertAlign w:val="baseline"/>
              </w:rPr>
              <w:t>$320,000</w:t>
            </w:r>
          </w:p>
        </w:tc>
        <w:tc>
          <w:tcPr>
            <w:tcW w:type="dxa" w:w="291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 w:cs="HelveticaNeue" w:eastAsia="HelveticaNeue" w:hAnsi="HelveticaNeue"/>
                <w:b/>
                <w:bCs/>
                <w:outline w:val="false"/>
                <w:shadow/>
                <w:color w:val="FFFFFF"/>
                <w:spacing w:val="0"/>
                <w:position w:val="0"/>
                <w:sz w:val="32"/>
                <w:sz w:val="32"/>
                <w:szCs w:val="32"/>
                <w:u w:val="none"/>
                <w:vertAlign w:val="baseline"/>
              </w:rPr>
              <w:t>$16,000,000</w:t>
            </w:r>
          </w:p>
        </w:tc>
      </w:tr>
    </w:tbl>
    <w:p>
      <w:pPr>
        <w:pStyle w:val="style0"/>
        <w:tabs>
          <w:tab w:leader="none" w:pos="560" w:val="left"/>
          <w:tab w:leader="none" w:pos="1120" w:val="left"/>
          <w:tab w:leader="none" w:pos="1680" w:val="left"/>
          <w:tab w:leader="none" w:pos="2240" w:val="left"/>
          <w:tab w:leader="none" w:pos="2800" w:val="left"/>
          <w:tab w:leader="none" w:pos="3360" w:val="left"/>
          <w:tab w:leader="none" w:pos="3920" w:val="left"/>
          <w:tab w:leader="none" w:pos="4480" w:val="left"/>
          <w:tab w:leader="none" w:pos="5040" w:val="left"/>
          <w:tab w:leader="none" w:pos="5600" w:val="left"/>
          <w:tab w:leader="none" w:pos="6160" w:val="left"/>
          <w:tab w:leader="none" w:pos="6720" w:val="left"/>
        </w:tabs>
        <w:autoSpaceDE w:val="false"/>
        <w:jc w:val="left"/>
      </w:pPr>
      <w:r>
        <w:rPr/>
      </w:r>
    </w:p>
    <w:p>
      <w:pPr>
        <w:pStyle w:val="style0"/>
        <w:numPr>
          <w:ilvl w:val="0"/>
          <w:numId w:val="1"/>
        </w:numPr>
      </w:pPr>
      <w:r>
        <w:rPr/>
        <w:t>Description of overall savings</w:t>
      </w:r>
    </w:p>
    <w:p>
      <w:pPr>
        <w:pStyle w:val="style0"/>
        <w:numPr>
          <w:ilvl w:val="1"/>
          <w:numId w:val="1"/>
        </w:numPr>
      </w:pPr>
      <w:r>
        <w:rPr/>
        <w:t xml:space="preserve">Reduction of electricity consumption is just the start of </w:t>
      </w:r>
    </w:p>
    <w:p>
      <w:pPr>
        <w:pStyle w:val="style0"/>
        <w:numPr>
          <w:ilvl w:val="0"/>
          <w:numId w:val="1"/>
        </w:numPr>
      </w:pPr>
      <w:r>
        <w:rPr/>
        <w:t>Table/chart showing overall (3 year savings)</w:t>
        <w:br/>
      </w:r>
    </w:p>
    <w:tbl>
      <w:tblPr>
        <w:tblW w:type="dxa" w:w="9030"/>
        <w:jc w:val="left"/>
        <w:tblInd w:type="dxa" w:w="550"/>
        <w:tblBorders>
          <w:top w:color="00AE00" w:space="0" w:sz="2" w:val="single"/>
          <w:left w:color="00AE00" w:space="0" w:sz="2" w:val="single"/>
          <w:bottom w:color="00AE00" w:space="0" w:sz="2" w:val="single"/>
          <w:right w:color="00AE00" w:space="0" w:sz="2" w:val="single"/>
        </w:tblBorders>
      </w:tblPr>
      <w:tblGrid>
        <w:gridCol w:w="2595"/>
        <w:gridCol w:w="3030"/>
        <w:gridCol w:w="3405"/>
      </w:tblGrid>
      <w:tr>
        <w:trPr>
          <w:cantSplit w:val="false"/>
        </w:trPr>
        <w:tc>
          <w:tcPr>
            <w:tcW w:type="dxa" w:w="2595"/>
            <w:tcBorders>
              <w:top w:color="00AE00" w:space="0" w:sz="2" w:val="single"/>
              <w:left w:color="00AE00" w:space="0" w:sz="2" w:val="single"/>
              <w:bottom w:color="00AE00" w:space="0" w:sz="2" w:val="single"/>
              <w:right w:color="00AE00" w:space="0" w:sz="2" w:val="single"/>
            </w:tcBorders>
            <w:shd w:fill="0057E6"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 w:cs="HelveticaNeue" w:eastAsia="HelveticaNeue" w:hAnsi="HelveticaNeue"/>
                <w:outline w:val="false"/>
                <w:shadow/>
                <w:color w:val="FFFFFF"/>
                <w:spacing w:val="0"/>
                <w:position w:val="0"/>
                <w:sz w:val="32"/>
                <w:sz w:val="32"/>
                <w:szCs w:val="32"/>
                <w:u w:val="none"/>
                <w:vertAlign w:val="baseline"/>
              </w:rPr>
              <w:t>20k Servers</w:t>
            </w:r>
          </w:p>
        </w:tc>
        <w:tc>
          <w:tcPr>
            <w:tcW w:type="dxa" w:w="3030"/>
            <w:tcBorders>
              <w:top w:color="00AE00" w:space="0" w:sz="2" w:val="single"/>
              <w:left w:color="00AE00" w:space="0" w:sz="2" w:val="single"/>
              <w:bottom w:color="00AE00" w:space="0" w:sz="2" w:val="single"/>
              <w:right w:color="00AE00" w:space="0" w:sz="2" w:val="single"/>
            </w:tcBorders>
            <w:shd w:fill="0057E6"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 w:cs="HelveticaNeue" w:eastAsia="HelveticaNeue" w:hAnsi="HelveticaNeue"/>
                <w:outline w:val="false"/>
                <w:shadow/>
                <w:color w:val="FFFFFF"/>
                <w:spacing w:val="0"/>
                <w:position w:val="0"/>
                <w:sz w:val="32"/>
                <w:sz w:val="32"/>
                <w:szCs w:val="32"/>
                <w:u w:val="none"/>
                <w:vertAlign w:val="baseline"/>
              </w:rPr>
              <w:t>$50/watt</w:t>
            </w:r>
          </w:p>
        </w:tc>
        <w:tc>
          <w:tcPr>
            <w:tcW w:type="dxa" w:w="3405"/>
            <w:tcBorders>
              <w:top w:color="00AE00" w:space="0" w:sz="2" w:val="single"/>
              <w:left w:color="00AE00" w:space="0" w:sz="2" w:val="single"/>
              <w:bottom w:color="00AE00" w:space="0" w:sz="2" w:val="single"/>
              <w:right w:color="00AE00" w:space="0" w:sz="2" w:val="single"/>
            </w:tcBorders>
            <w:shd w:fill="0057E6"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 w:cs="HelveticaNeue" w:eastAsia="HelveticaNeue" w:hAnsi="HelveticaNeue"/>
                <w:outline w:val="false"/>
                <w:shadow/>
                <w:color w:val="FFFFFF"/>
                <w:spacing w:val="0"/>
                <w:position w:val="0"/>
                <w:sz w:val="32"/>
                <w:sz w:val="32"/>
                <w:szCs w:val="32"/>
                <w:u w:val="none"/>
                <w:vertAlign w:val="baseline"/>
              </w:rPr>
              <w:t>$75/watt</w:t>
            </w:r>
          </w:p>
        </w:tc>
      </w:tr>
      <w:tr>
        <w:trPr>
          <w:cantSplit w:val="false"/>
        </w:trPr>
        <w:tc>
          <w:tcPr>
            <w:tcW w:type="dxa" w:w="2595"/>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32"/>
                <w:sz w:val="32"/>
                <w:szCs w:val="32"/>
                <w:u w:val="none"/>
                <w:vertAlign w:val="baseline"/>
              </w:rPr>
              <w:t>Conventional</w:t>
            </w:r>
          </w:p>
        </w:tc>
        <w:tc>
          <w:tcPr>
            <w:tcW w:type="dxa" w:w="303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32"/>
                <w:sz w:val="32"/>
                <w:szCs w:val="32"/>
                <w:u w:val="none"/>
                <w:vertAlign w:val="baseline"/>
              </w:rPr>
              <w:t>$175,000,000</w:t>
            </w:r>
          </w:p>
        </w:tc>
        <w:tc>
          <w:tcPr>
            <w:tcW w:type="dxa" w:w="3405"/>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outline w:val="false"/>
                <w:shadow/>
                <w:color w:val="FFFFFF"/>
                <w:spacing w:val="0"/>
                <w:position w:val="0"/>
                <w:sz w:val="32"/>
                <w:sz w:val="32"/>
                <w:szCs w:val="32"/>
                <w:u w:val="none"/>
                <w:vertAlign w:val="baseline"/>
              </w:rPr>
              <w:t>$262,500,000</w:t>
            </w:r>
          </w:p>
        </w:tc>
      </w:tr>
      <w:tr>
        <w:trPr>
          <w:cantSplit w:val="false"/>
        </w:trPr>
        <w:tc>
          <w:tcPr>
            <w:tcW w:type="dxa" w:w="2595"/>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 w:cs="HelveticaNeue" w:eastAsia="HelveticaNeue" w:hAnsi="HelveticaNeue"/>
                <w:b/>
                <w:bCs/>
                <w:outline w:val="false"/>
                <w:shadow/>
                <w:color w:val="66B132"/>
                <w:spacing w:val="0"/>
                <w:position w:val="0"/>
                <w:sz w:val="32"/>
                <w:sz w:val="32"/>
                <w:szCs w:val="32"/>
                <w:u w:val="none"/>
                <w:vertAlign w:val="baseline"/>
              </w:rPr>
              <w:t>Lopoco</w:t>
            </w:r>
          </w:p>
        </w:tc>
        <w:tc>
          <w:tcPr>
            <w:tcW w:type="dxa" w:w="303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b w:val="false"/>
                <w:bCs w:val="false"/>
                <w:outline w:val="false"/>
                <w:shadow/>
                <w:color w:val="FFFFFF"/>
                <w:spacing w:val="0"/>
                <w:position w:val="0"/>
                <w:sz w:val="32"/>
                <w:sz w:val="32"/>
                <w:szCs w:val="32"/>
                <w:u w:val="none"/>
                <w:vertAlign w:val="baseline"/>
              </w:rPr>
              <w:t>$50,000,000</w:t>
            </w:r>
          </w:p>
        </w:tc>
        <w:tc>
          <w:tcPr>
            <w:tcW w:type="dxa" w:w="3405"/>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Light" w:cs="HelveticaNeue-Light" w:eastAsia="HelveticaNeue-Light" w:hAnsi="HelveticaNeue-Light"/>
                <w:b w:val="false"/>
                <w:bCs w:val="false"/>
                <w:outline w:val="false"/>
                <w:shadow/>
                <w:color w:val="FFFFFF"/>
                <w:spacing w:val="0"/>
                <w:position w:val="0"/>
                <w:sz w:val="32"/>
                <w:sz w:val="32"/>
                <w:szCs w:val="32"/>
                <w:u w:val="none"/>
                <w:vertAlign w:val="baseline"/>
              </w:rPr>
              <w:t>$75,000,000</w:t>
            </w:r>
          </w:p>
        </w:tc>
      </w:tr>
      <w:tr>
        <w:trPr>
          <w:cantSplit w:val="false"/>
        </w:trPr>
        <w:tc>
          <w:tcPr>
            <w:tcW w:type="dxa" w:w="2595"/>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right"/>
            </w:pPr>
            <w:r>
              <w:rPr>
                <w:rFonts w:ascii="HelveticaNeue-Medium" w:cs="HelveticaNeue-Medium" w:eastAsia="HelveticaNeue-Medium" w:hAnsi="HelveticaNeue-Medium"/>
                <w:b w:val="false"/>
                <w:bCs w:val="false"/>
                <w:outline w:val="false"/>
                <w:shadow/>
                <w:color w:val="FFFFFF"/>
                <w:spacing w:val="0"/>
                <w:position w:val="0"/>
                <w:sz w:val="32"/>
                <w:sz w:val="32"/>
                <w:szCs w:val="32"/>
                <w:u w:val="none"/>
                <w:vertAlign w:val="baseline"/>
              </w:rPr>
              <w:t>Savings</w:t>
            </w:r>
          </w:p>
        </w:tc>
        <w:tc>
          <w:tcPr>
            <w:tcW w:type="dxa" w:w="3030"/>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 w:cs="HelveticaNeue" w:eastAsia="HelveticaNeue" w:hAnsi="HelveticaNeue"/>
                <w:b/>
                <w:bCs/>
                <w:outline w:val="false"/>
                <w:shadow/>
                <w:color w:val="FFFFFF"/>
                <w:spacing w:val="0"/>
                <w:position w:val="0"/>
                <w:sz w:val="32"/>
                <w:sz w:val="32"/>
                <w:szCs w:val="32"/>
                <w:u w:val="none"/>
                <w:vertAlign w:val="baseline"/>
              </w:rPr>
              <w:t>$125,000,000</w:t>
            </w:r>
          </w:p>
        </w:tc>
        <w:tc>
          <w:tcPr>
            <w:tcW w:type="dxa" w:w="3405"/>
            <w:tcBorders>
              <w:top w:color="00AE00" w:space="0" w:sz="2" w:val="single"/>
              <w:left w:color="00AE00" w:space="0" w:sz="2" w:val="single"/>
              <w:bottom w:color="00AE00" w:space="0" w:sz="2" w:val="single"/>
              <w:right w:color="00AE00" w:space="0" w:sz="2" w:val="single"/>
            </w:tcBorders>
            <w:shd w:fill="544E51" w:val="clear"/>
            <w:tcMar>
              <w:top w:type="dxa" w:w="0"/>
              <w:left w:type="dxa" w:w="108"/>
              <w:bottom w:type="dxa" w:w="0"/>
              <w:right w:type="dxa" w:w="108"/>
            </w:tcMar>
            <w:vAlign w:val="center"/>
          </w:tcPr>
          <w:p>
            <w:pPr>
              <w:pStyle w:val="style0"/>
              <w:tabs>
                <w:tab w:leader="none" w:pos="3100" w:val="left"/>
              </w:tabs>
              <w:autoSpaceDE w:val="false"/>
              <w:jc w:val="center"/>
            </w:pPr>
            <w:r>
              <w:rPr>
                <w:rFonts w:ascii="HelveticaNeue" w:cs="HelveticaNeue" w:eastAsia="HelveticaNeue" w:hAnsi="HelveticaNeue"/>
                <w:b/>
                <w:bCs/>
                <w:outline w:val="false"/>
                <w:shadow/>
                <w:color w:val="FFFFFF"/>
                <w:spacing w:val="0"/>
                <w:position w:val="0"/>
                <w:sz w:val="32"/>
                <w:sz w:val="32"/>
                <w:szCs w:val="32"/>
                <w:u w:val="none"/>
                <w:vertAlign w:val="baseline"/>
              </w:rPr>
              <w:t>$187,500,000</w:t>
            </w:r>
          </w:p>
        </w:tc>
      </w:tr>
    </w:tbl>
    <w:p>
      <w:pPr>
        <w:pStyle w:val="style0"/>
        <w:tabs>
          <w:tab w:leader="none" w:pos="560" w:val="left"/>
          <w:tab w:leader="none" w:pos="1120" w:val="left"/>
          <w:tab w:leader="none" w:pos="1680" w:val="left"/>
          <w:tab w:leader="none" w:pos="2240" w:val="left"/>
          <w:tab w:leader="none" w:pos="2800" w:val="left"/>
          <w:tab w:leader="none" w:pos="3360" w:val="left"/>
          <w:tab w:leader="none" w:pos="3920" w:val="left"/>
          <w:tab w:leader="none" w:pos="4480" w:val="left"/>
          <w:tab w:leader="none" w:pos="5040" w:val="left"/>
          <w:tab w:leader="none" w:pos="5600" w:val="left"/>
          <w:tab w:leader="none" w:pos="6160" w:val="left"/>
          <w:tab w:leader="none" w:pos="6720" w:val="left"/>
        </w:tabs>
        <w:autoSpaceDE w:val="false"/>
        <w:jc w:val="left"/>
      </w:pPr>
      <w:r>
        <w:rPr/>
      </w:r>
    </w:p>
    <w:p>
      <w:pPr>
        <w:pStyle w:val="style0"/>
        <w:numPr>
          <w:ilvl w:val="0"/>
          <w:numId w:val="1"/>
        </w:numPr>
      </w:pPr>
      <w:r>
        <w:rPr/>
        <w:t>Summary/Conclusion</w:t>
      </w:r>
    </w:p>
    <w:p>
      <w:pPr>
        <w:pStyle w:val="style0"/>
        <w:numPr>
          <w:ilvl w:val="1"/>
          <w:numId w:val="1"/>
        </w:numPr>
      </w:pPr>
      <w:r>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kinsoku w:val="true"/>
      <w:overflowPunct w:val="true"/>
      <w:autoSpaceDE w:val="true"/>
    </w:pPr>
    <w:rPr>
      <w:rFonts w:ascii="Times New Roman" w:cs="Lohit Hindi" w:eastAsia="WenQuanYi Micro Hei" w:hAnsi="Times New Roman"/>
      <w:color w:val="auto"/>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pPr>
    <w:rPr>
      <w:rFonts w:ascii="Arial" w:cs="Lohit Hindi" w:eastAsia="WenQuanYi Micro Hei"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Table Contents"/>
    <w:basedOn w:val="style0"/>
    <w:next w:val="style21"/>
    <w:pPr>
      <w:suppressLineNumbers/>
    </w:pPr>
    <w:rPr/>
  </w:style>
  <w:style w:styleId="style22" w:type="paragraph">
    <w:name w:val="Table Heading"/>
    <w:basedOn w:val="style21"/>
    <w:next w:val="style22"/>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3916</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2013-11-19T16:47:57.00Z</dcterms:created>
  <dc:creator>Andrew Sharp</dc:creator>
  <cp:lastModifiedBy>Andrew Sharp</cp:lastModifiedBy>
  <dcterms:modified xsi:type="dcterms:W3CDTF">2013-12-10T12:25:33.00Z</dcterms:modified>
  <cp:revision>9</cp:revision>
</cp:coreProperties>
</file>